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4B" w:rsidRPr="00AB4B4B" w:rsidRDefault="00AB4B4B" w:rsidP="00AB4B4B">
      <w:pPr>
        <w:spacing w:after="300" w:line="300" w:lineRule="atLeast"/>
        <w:jc w:val="both"/>
        <w:textAlignment w:val="baseline"/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</w:pPr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Специалисты филиала ФБУ «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Рослесозащита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» «ЦЗЛ Республики Тыва» в преддверии нового полевого сезона подготовили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пообъектый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 план-график полевых работ. Лесопатологи и инженеры отдела защиты леса и государственного лесопатологического мониторинга готовы преступить к натурным работам во второй половине мая 2023 года с началом периода вегетации.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Пообъектный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 план-график работ составляют исходя из доведённых объёмов работ по ГЛПМ в рамках выполнения государственного задания и на основании анализа полученных данных в 2022 году.</w:t>
      </w:r>
    </w:p>
    <w:p w:rsidR="00AB4B4B" w:rsidRPr="00AB4B4B" w:rsidRDefault="00AB4B4B" w:rsidP="00AB4B4B">
      <w:pPr>
        <w:spacing w:after="300" w:line="300" w:lineRule="atLeast"/>
        <w:jc w:val="both"/>
        <w:textAlignment w:val="baseline"/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</w:pPr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Для формирования план-графика полевых работ, необходимо провести качественный анализ всей имеющийся информации о санитарном и лесопатологическом состоянии лесного фонда полученной за последние годы, сведения об очагах вредных организмов, соотнести климатические особенности начала 2023 года с фенологией вредителей разных видов. Поэтому при подготовке планов проводят первый и очень важный анализ, действующих очагов и участков резерваций вредителей и болезней леса, лесопатологи смотрят показатели прошлых лет, рассматривают варианты развития очагов, поскольку на территории республики ожидаются вспышки очагов вредных организмов.</w:t>
      </w:r>
    </w:p>
    <w:p w:rsidR="00AB4B4B" w:rsidRPr="00AB4B4B" w:rsidRDefault="00AB4B4B" w:rsidP="00AB4B4B">
      <w:pPr>
        <w:spacing w:after="300" w:line="300" w:lineRule="atLeast"/>
        <w:jc w:val="both"/>
        <w:textAlignment w:val="baseline"/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</w:pPr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Инвентаризация очагов вредных организмом охватит площадь 8589,4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тыс.га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., из них учеты численности вредных организмов пройдут на площади 1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тыс.га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. в 21 пункте учёта. В период начала полевого сезона специалистам филиала предстоит провести выборочные наземные наблюдения за популяциями вредных организмов на 21 маршрутном ходе общей площадью свыше 16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тыс.га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., в том числе с применением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феромонных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 ловушек на 8 маршрутных ходах. В Республике Тыва за последние годы складываются весьма благоприятные условия для развития и увеличения очагов вредных организмов. Пристальный взгляд лесопатологов направлен к очагам серой лиственничной листовертки вспыхнувших в 2022 году, предстоит посетить труднодоступные территории в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Каа-Хемском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 лесничестве.</w:t>
      </w:r>
    </w:p>
    <w:p w:rsidR="00AB4B4B" w:rsidRPr="00AB4B4B" w:rsidRDefault="00AB4B4B" w:rsidP="00AB4B4B">
      <w:pPr>
        <w:spacing w:line="300" w:lineRule="atLeast"/>
        <w:jc w:val="both"/>
        <w:textAlignment w:val="baseline"/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</w:pPr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Площадь регулярных наземных наблюдений за санитарным и лесопатологическим состоянием лесов составит 1160 тыс. га. Лесопатологам предстоит посетить 76 пункт постоянных наблюдений в средней зоне лесопатологической угрозы на территории двух лесничеств: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Шагонарского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 xml:space="preserve"> и </w:t>
      </w:r>
      <w:proofErr w:type="spellStart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Чаданского</w:t>
      </w:r>
      <w:proofErr w:type="spellEnd"/>
      <w:r w:rsidRPr="00AB4B4B">
        <w:rPr>
          <w:rFonts w:ascii="inherit" w:eastAsia="Times New Roman" w:hAnsi="inherit" w:cs="Times New Roman"/>
          <w:color w:val="1B1A1A"/>
          <w:sz w:val="21"/>
          <w:szCs w:val="21"/>
          <w:lang w:eastAsia="ru-RU"/>
        </w:rPr>
        <w:t>.</w:t>
      </w:r>
    </w:p>
    <w:p w:rsidR="00AB4B4B" w:rsidRPr="00AB4B4B" w:rsidRDefault="00AB4B4B" w:rsidP="00AB4B4B">
      <w:pPr>
        <w:spacing w:before="1275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color w:val="F9F9F9"/>
          <w:sz w:val="20"/>
          <w:szCs w:val="20"/>
          <w:bdr w:val="none" w:sz="0" w:space="0" w:color="auto" w:frame="1"/>
          <w:shd w:val="clear" w:color="auto" w:fill="61CA8D"/>
          <w:lang w:eastAsia="ru-RU"/>
        </w:rPr>
      </w:pPr>
      <w:r w:rsidRPr="00AB4B4B">
        <w:rPr>
          <w:rFonts w:ascii="Montserrat" w:eastAsia="Times New Roman" w:hAnsi="Montserrat" w:cs="Times New Roman"/>
          <w:color w:val="1B1A1A"/>
          <w:sz w:val="26"/>
          <w:szCs w:val="26"/>
          <w:lang w:eastAsia="ru-RU"/>
        </w:rPr>
        <w:fldChar w:fldCharType="begin"/>
      </w:r>
      <w:r w:rsidRPr="00AB4B4B">
        <w:rPr>
          <w:rFonts w:ascii="Montserrat" w:eastAsia="Times New Roman" w:hAnsi="Montserrat" w:cs="Times New Roman"/>
          <w:color w:val="1B1A1A"/>
          <w:sz w:val="26"/>
          <w:szCs w:val="26"/>
          <w:lang w:eastAsia="ru-RU"/>
        </w:rPr>
        <w:instrText xml:space="preserve"> HYPERLINK "https://tyva.rcfh.ru/presscenter/novosti/" </w:instrText>
      </w:r>
      <w:r w:rsidRPr="00AB4B4B">
        <w:rPr>
          <w:rFonts w:ascii="Montserrat" w:eastAsia="Times New Roman" w:hAnsi="Montserrat" w:cs="Times New Roman"/>
          <w:color w:val="1B1A1A"/>
          <w:sz w:val="26"/>
          <w:szCs w:val="26"/>
          <w:lang w:eastAsia="ru-RU"/>
        </w:rPr>
        <w:fldChar w:fldCharType="separate"/>
      </w:r>
    </w:p>
    <w:p w:rsidR="00AB4B4B" w:rsidRPr="00AB4B4B" w:rsidRDefault="00AB4B4B" w:rsidP="00AB4B4B">
      <w:pPr>
        <w:spacing w:before="127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4B">
        <w:rPr>
          <w:rFonts w:ascii="inherit" w:eastAsia="Times New Roman" w:hAnsi="inherit" w:cs="Times New Roman"/>
          <w:b/>
          <w:bCs/>
          <w:caps/>
          <w:color w:val="F9F9F9"/>
          <w:sz w:val="20"/>
          <w:szCs w:val="20"/>
          <w:bdr w:val="none" w:sz="0" w:space="0" w:color="auto" w:frame="1"/>
          <w:shd w:val="clear" w:color="auto" w:fill="61CA8D"/>
          <w:lang w:eastAsia="ru-RU"/>
        </w:rPr>
        <w:t>ВСЕ НОВОСТИ</w:t>
      </w:r>
    </w:p>
    <w:p w:rsidR="00AB4B4B" w:rsidRPr="00AB4B4B" w:rsidRDefault="00AB4B4B" w:rsidP="00AB4B4B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1B1A1A"/>
          <w:sz w:val="26"/>
          <w:szCs w:val="26"/>
          <w:lang w:eastAsia="ru-RU"/>
        </w:rPr>
      </w:pPr>
      <w:r w:rsidRPr="00AB4B4B">
        <w:rPr>
          <w:rFonts w:ascii="Montserrat" w:eastAsia="Times New Roman" w:hAnsi="Montserrat" w:cs="Times New Roman"/>
          <w:color w:val="1B1A1A"/>
          <w:sz w:val="26"/>
          <w:szCs w:val="26"/>
          <w:lang w:eastAsia="ru-RU"/>
        </w:rPr>
        <w:fldChar w:fldCharType="end"/>
      </w:r>
    </w:p>
    <w:p w:rsidR="00584EE0" w:rsidRDefault="00584EE0">
      <w:bookmarkStart w:id="0" w:name="_GoBack"/>
      <w:bookmarkEnd w:id="0"/>
    </w:p>
    <w:sectPr w:rsidR="0058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80"/>
    <w:rsid w:val="00584EE0"/>
    <w:rsid w:val="00AB4B4B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CC9C6-0FC8-44CD-85AF-8183181E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235">
          <w:marLeft w:val="0"/>
          <w:marRight w:val="0"/>
          <w:marTop w:val="66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ErenteiLina</dc:creator>
  <cp:keywords/>
  <dc:description/>
  <cp:lastModifiedBy>ErenteiLina</cp:lastModifiedBy>
  <cp:revision>3</cp:revision>
  <dcterms:created xsi:type="dcterms:W3CDTF">2023-04-05T06:22:00Z</dcterms:created>
  <dcterms:modified xsi:type="dcterms:W3CDTF">2023-04-05T06:23:00Z</dcterms:modified>
</cp:coreProperties>
</file>