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2E" w:rsidRDefault="0021493F" w:rsidP="0021493F">
      <w:pPr>
        <w:shd w:val="clear" w:color="auto" w:fill="FFFFFF"/>
        <w:spacing w:after="0" w:line="240" w:lineRule="auto"/>
        <w:jc w:val="both"/>
        <w:rPr>
          <w:rFonts w:ascii="Times New Roman" w:hAnsi="Times New Roman" w:cs="Times New Roman"/>
          <w:sz w:val="28"/>
          <w:szCs w:val="28"/>
        </w:rPr>
      </w:pPr>
      <w:r>
        <w:rPr>
          <w:noProof/>
          <w:lang w:eastAsia="ru-RU"/>
        </w:rPr>
        <w:drawing>
          <wp:inline distT="0" distB="0" distL="0" distR="0">
            <wp:extent cx="1743075" cy="1743075"/>
            <wp:effectExtent l="19050" t="0" r="9525" b="0"/>
            <wp:docPr id="1" name="Рисунок 1" descr="D:\ватсап\WhatsApp Image 2023-04-04 at 14.5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ватсап\WhatsApp Image 2023-04-04 at 14.55.01.jpeg"/>
                    <pic:cNvPicPr>
                      <a:picLocks noChangeAspect="1" noChangeArrowheads="1"/>
                    </pic:cNvPicPr>
                  </pic:nvPicPr>
                  <pic:blipFill>
                    <a:blip r:embed="rId5"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r w:rsidR="00A2072E">
        <w:rPr>
          <w:rFonts w:ascii="Times New Roman" w:hAnsi="Times New Roman" w:cs="Times New Roman"/>
          <w:sz w:val="28"/>
          <w:szCs w:val="28"/>
        </w:rPr>
        <w:t xml:space="preserve">Национальный рейтинг </w:t>
      </w:r>
    </w:p>
    <w:p w:rsidR="00A2072E" w:rsidRDefault="00A2072E" w:rsidP="00A2072E">
      <w:pPr>
        <w:shd w:val="clear" w:color="auto" w:fill="FFFFFF"/>
        <w:spacing w:after="0" w:line="240" w:lineRule="auto"/>
        <w:ind w:firstLine="708"/>
        <w:jc w:val="center"/>
        <w:rPr>
          <w:rFonts w:ascii="Times New Roman" w:hAnsi="Times New Roman" w:cs="Times New Roman"/>
          <w:sz w:val="28"/>
          <w:szCs w:val="28"/>
        </w:rPr>
      </w:pPr>
    </w:p>
    <w:p w:rsidR="001C6376" w:rsidRPr="00640D5D" w:rsidRDefault="001C6376" w:rsidP="001C6376">
      <w:pPr>
        <w:shd w:val="clear" w:color="auto" w:fill="FFFFFF"/>
        <w:spacing w:after="0" w:line="240" w:lineRule="auto"/>
        <w:ind w:firstLine="708"/>
        <w:jc w:val="both"/>
        <w:rPr>
          <w:rFonts w:ascii="Times New Roman" w:hAnsi="Times New Roman" w:cs="Times New Roman"/>
          <w:sz w:val="28"/>
          <w:szCs w:val="28"/>
        </w:rPr>
      </w:pPr>
      <w:r w:rsidRPr="00640D5D">
        <w:rPr>
          <w:rFonts w:ascii="Times New Roman" w:hAnsi="Times New Roman" w:cs="Times New Roman"/>
          <w:sz w:val="28"/>
          <w:szCs w:val="28"/>
        </w:rPr>
        <w:t xml:space="preserve">Управление </w:t>
      </w:r>
      <w:proofErr w:type="spellStart"/>
      <w:r w:rsidRPr="00640D5D">
        <w:rPr>
          <w:rFonts w:ascii="Times New Roman" w:hAnsi="Times New Roman" w:cs="Times New Roman"/>
          <w:sz w:val="28"/>
          <w:szCs w:val="28"/>
        </w:rPr>
        <w:t>Росреестра</w:t>
      </w:r>
      <w:proofErr w:type="spellEnd"/>
      <w:r w:rsidRPr="00640D5D">
        <w:rPr>
          <w:rFonts w:ascii="Times New Roman" w:hAnsi="Times New Roman" w:cs="Times New Roman"/>
          <w:sz w:val="28"/>
          <w:szCs w:val="28"/>
        </w:rPr>
        <w:t xml:space="preserve"> по Республике Тыва отвечает за несколько показателей, которые влияют на позицию республики в </w:t>
      </w:r>
      <w:r w:rsidR="006D268F">
        <w:rPr>
          <w:rFonts w:ascii="Times New Roman" w:hAnsi="Times New Roman" w:cs="Times New Roman"/>
          <w:sz w:val="28"/>
          <w:szCs w:val="28"/>
        </w:rPr>
        <w:t xml:space="preserve">Национальном </w:t>
      </w:r>
      <w:r w:rsidRPr="00640D5D">
        <w:rPr>
          <w:rFonts w:ascii="Times New Roman" w:hAnsi="Times New Roman" w:cs="Times New Roman"/>
          <w:sz w:val="28"/>
          <w:szCs w:val="28"/>
        </w:rPr>
        <w:t>рейтинге</w:t>
      </w:r>
      <w:r>
        <w:rPr>
          <w:rFonts w:ascii="Times New Roman" w:hAnsi="Times New Roman" w:cs="Times New Roman"/>
          <w:sz w:val="28"/>
          <w:szCs w:val="28"/>
        </w:rPr>
        <w:t>,</w:t>
      </w:r>
      <w:r w:rsidRPr="00640D5D">
        <w:rPr>
          <w:rFonts w:ascii="Times New Roman" w:hAnsi="Times New Roman" w:cs="Times New Roman"/>
          <w:sz w:val="28"/>
          <w:szCs w:val="28"/>
        </w:rPr>
        <w:t xml:space="preserve"> по факторам «А3 Эффективность процедур по регистрации прав собственности» и </w:t>
      </w:r>
      <w:r w:rsidRPr="00F357C0">
        <w:rPr>
          <w:rFonts w:ascii="Times New Roman" w:hAnsi="Times New Roman" w:cs="Times New Roman"/>
          <w:sz w:val="28"/>
          <w:szCs w:val="28"/>
        </w:rPr>
        <w:t>В</w:t>
      </w:r>
      <w:proofErr w:type="gramStart"/>
      <w:r w:rsidRPr="00F357C0">
        <w:rPr>
          <w:rFonts w:ascii="Times New Roman" w:hAnsi="Times New Roman" w:cs="Times New Roman"/>
          <w:sz w:val="28"/>
          <w:szCs w:val="28"/>
        </w:rPr>
        <w:t>2</w:t>
      </w:r>
      <w:proofErr w:type="gramEnd"/>
      <w:r w:rsidRPr="00F357C0">
        <w:rPr>
          <w:rFonts w:ascii="Times New Roman" w:hAnsi="Times New Roman" w:cs="Times New Roman"/>
          <w:sz w:val="28"/>
          <w:szCs w:val="28"/>
        </w:rPr>
        <w:t xml:space="preserve"> «Эффективность процедур постановки земельного участка на кадастровый учет и качество территориального планирования» (далее – фактор А3 и В2 соответственно)</w:t>
      </w:r>
      <w:r>
        <w:rPr>
          <w:rFonts w:ascii="Times New Roman" w:hAnsi="Times New Roman" w:cs="Times New Roman"/>
          <w:sz w:val="28"/>
          <w:szCs w:val="28"/>
        </w:rPr>
        <w:t>.</w:t>
      </w:r>
    </w:p>
    <w:p w:rsidR="00C017D2" w:rsidRDefault="001C6376" w:rsidP="00C017D2">
      <w:pPr>
        <w:jc w:val="both"/>
        <w:rPr>
          <w:rFonts w:ascii="Times New Roman" w:hAnsi="Times New Roman" w:cs="Times New Roman"/>
          <w:sz w:val="25"/>
          <w:szCs w:val="25"/>
        </w:rPr>
      </w:pPr>
      <w:r w:rsidRPr="00640D5D">
        <w:rPr>
          <w:rFonts w:ascii="Times New Roman" w:hAnsi="Times New Roman" w:cs="Times New Roman"/>
          <w:sz w:val="28"/>
          <w:szCs w:val="28"/>
        </w:rPr>
        <w:t xml:space="preserve">В целом, по итогам </w:t>
      </w:r>
      <w:r w:rsidRPr="00F357C0">
        <w:rPr>
          <w:rFonts w:ascii="Times New Roman" w:hAnsi="Times New Roman" w:cs="Times New Roman"/>
          <w:sz w:val="28"/>
          <w:szCs w:val="28"/>
        </w:rPr>
        <w:t xml:space="preserve">Национального рейтинга </w:t>
      </w:r>
      <w:r w:rsidRPr="00640D5D">
        <w:rPr>
          <w:rFonts w:ascii="Times New Roman" w:hAnsi="Times New Roman" w:cs="Times New Roman"/>
          <w:sz w:val="28"/>
          <w:szCs w:val="28"/>
        </w:rPr>
        <w:t xml:space="preserve">в </w:t>
      </w:r>
      <w:r w:rsidR="006D268F">
        <w:rPr>
          <w:rFonts w:ascii="Times New Roman" w:hAnsi="Times New Roman" w:cs="Times New Roman"/>
          <w:sz w:val="28"/>
          <w:szCs w:val="28"/>
        </w:rPr>
        <w:t>2023</w:t>
      </w:r>
      <w:r w:rsidRPr="00640D5D">
        <w:rPr>
          <w:rFonts w:ascii="Times New Roman" w:hAnsi="Times New Roman" w:cs="Times New Roman"/>
          <w:sz w:val="28"/>
          <w:szCs w:val="28"/>
        </w:rPr>
        <w:t xml:space="preserve"> году значения большинства показателей по сравнению с результа</w:t>
      </w:r>
      <w:r w:rsidR="006D268F">
        <w:rPr>
          <w:rFonts w:ascii="Times New Roman" w:hAnsi="Times New Roman" w:cs="Times New Roman"/>
          <w:sz w:val="28"/>
          <w:szCs w:val="28"/>
        </w:rPr>
        <w:t>тами Национального рейтинга 2022</w:t>
      </w:r>
      <w:r w:rsidRPr="00640D5D">
        <w:rPr>
          <w:rFonts w:ascii="Times New Roman" w:hAnsi="Times New Roman" w:cs="Times New Roman"/>
          <w:sz w:val="28"/>
          <w:szCs w:val="28"/>
        </w:rPr>
        <w:t xml:space="preserve"> года улучшены: </w:t>
      </w:r>
      <w:r w:rsidR="00C017D2">
        <w:rPr>
          <w:rFonts w:ascii="Times New Roman" w:hAnsi="Times New Roman" w:cs="Times New Roman"/>
          <w:sz w:val="28"/>
          <w:szCs w:val="28"/>
        </w:rPr>
        <w:t xml:space="preserve">сократилось среднее </w:t>
      </w:r>
      <w:r w:rsidR="00C017D2" w:rsidRPr="00C017D2">
        <w:rPr>
          <w:rFonts w:ascii="Times New Roman" w:hAnsi="Times New Roman" w:cs="Times New Roman"/>
          <w:b/>
          <w:sz w:val="28"/>
          <w:szCs w:val="28"/>
        </w:rPr>
        <w:t>В</w:t>
      </w:r>
      <w:r w:rsidRPr="00C017D2">
        <w:rPr>
          <w:rFonts w:ascii="Times New Roman" w:hAnsi="Times New Roman" w:cs="Times New Roman"/>
          <w:b/>
          <w:sz w:val="28"/>
          <w:szCs w:val="28"/>
        </w:rPr>
        <w:t>ремя</w:t>
      </w:r>
      <w:r w:rsidR="006D268F" w:rsidRPr="00C017D2">
        <w:rPr>
          <w:rFonts w:ascii="Times New Roman" w:hAnsi="Times New Roman" w:cs="Times New Roman"/>
          <w:b/>
          <w:sz w:val="28"/>
          <w:szCs w:val="28"/>
        </w:rPr>
        <w:t xml:space="preserve"> регистрации прав собственности</w:t>
      </w:r>
      <w:r w:rsidRPr="00640D5D">
        <w:rPr>
          <w:rFonts w:ascii="Times New Roman" w:hAnsi="Times New Roman" w:cs="Times New Roman"/>
          <w:sz w:val="28"/>
          <w:szCs w:val="28"/>
        </w:rPr>
        <w:t xml:space="preserve"> и </w:t>
      </w:r>
      <w:r w:rsidR="006D268F">
        <w:rPr>
          <w:rFonts w:ascii="Times New Roman" w:hAnsi="Times New Roman" w:cs="Times New Roman"/>
          <w:sz w:val="28"/>
          <w:szCs w:val="28"/>
        </w:rPr>
        <w:t>улучшилась</w:t>
      </w:r>
      <w:r w:rsidR="006D268F" w:rsidRPr="00C017D2">
        <w:rPr>
          <w:rFonts w:ascii="Times New Roman" w:hAnsi="Times New Roman" w:cs="Times New Roman"/>
          <w:b/>
          <w:sz w:val="28"/>
          <w:szCs w:val="28"/>
        </w:rPr>
        <w:t>Оценка деятельности органов власти по регистрации прав на недвижимое имущество и сделок с ним</w:t>
      </w:r>
      <w:r w:rsidR="00EB4574">
        <w:rPr>
          <w:rFonts w:ascii="Times New Roman" w:hAnsi="Times New Roman" w:cs="Times New Roman"/>
          <w:sz w:val="28"/>
          <w:szCs w:val="28"/>
        </w:rPr>
        <w:t>. Также</w:t>
      </w:r>
      <w:r w:rsidR="00C017D2">
        <w:rPr>
          <w:rFonts w:ascii="Times New Roman" w:hAnsi="Times New Roman" w:cs="Times New Roman"/>
          <w:sz w:val="28"/>
          <w:szCs w:val="28"/>
        </w:rPr>
        <w:t>,</w:t>
      </w:r>
      <w:r w:rsidR="00EB4574">
        <w:rPr>
          <w:rFonts w:ascii="Times New Roman" w:hAnsi="Times New Roman" w:cs="Times New Roman"/>
          <w:sz w:val="28"/>
          <w:szCs w:val="28"/>
        </w:rPr>
        <w:t xml:space="preserve"> согласно </w:t>
      </w:r>
      <w:r w:rsidR="00C017D2">
        <w:rPr>
          <w:rFonts w:ascii="Times New Roman" w:hAnsi="Times New Roman" w:cs="Times New Roman"/>
          <w:sz w:val="28"/>
          <w:szCs w:val="28"/>
        </w:rPr>
        <w:t xml:space="preserve">показателям </w:t>
      </w:r>
      <w:r w:rsidRPr="00640D5D">
        <w:rPr>
          <w:rFonts w:ascii="Times New Roman" w:hAnsi="Times New Roman" w:cs="Times New Roman"/>
          <w:sz w:val="28"/>
          <w:szCs w:val="28"/>
        </w:rPr>
        <w:t>рейтинга</w:t>
      </w:r>
      <w:r w:rsidR="00C017D2">
        <w:rPr>
          <w:rFonts w:ascii="Times New Roman" w:hAnsi="Times New Roman" w:cs="Times New Roman"/>
          <w:sz w:val="28"/>
          <w:szCs w:val="28"/>
        </w:rPr>
        <w:t>,</w:t>
      </w:r>
      <w:r w:rsidRPr="00640D5D">
        <w:rPr>
          <w:rFonts w:ascii="Times New Roman" w:hAnsi="Times New Roman" w:cs="Times New Roman"/>
          <w:sz w:val="28"/>
          <w:szCs w:val="28"/>
        </w:rPr>
        <w:t xml:space="preserve"> сократилось </w:t>
      </w:r>
      <w:r w:rsidR="00EB4574" w:rsidRPr="00C017D2">
        <w:rPr>
          <w:rFonts w:ascii="Times New Roman" w:hAnsi="Times New Roman" w:cs="Times New Roman"/>
          <w:b/>
          <w:sz w:val="28"/>
          <w:szCs w:val="28"/>
        </w:rPr>
        <w:t>Среднее количество процедур, необходимых для постановки на кадастровый учет</w:t>
      </w:r>
      <w:r w:rsidR="00C017D2">
        <w:rPr>
          <w:rFonts w:ascii="Times New Roman" w:hAnsi="Times New Roman" w:cs="Times New Roman"/>
          <w:sz w:val="28"/>
          <w:szCs w:val="28"/>
        </w:rPr>
        <w:t xml:space="preserve">, а также улучшилась </w:t>
      </w:r>
      <w:r w:rsidR="00C017D2" w:rsidRPr="00C017D2">
        <w:rPr>
          <w:rFonts w:ascii="Times New Roman" w:hAnsi="Times New Roman" w:cs="Times New Roman"/>
          <w:b/>
          <w:sz w:val="28"/>
          <w:szCs w:val="28"/>
        </w:rPr>
        <w:t>Оценка деятельности органов власти по постановке на кадастровый учет</w:t>
      </w:r>
      <w:r w:rsidR="00C017D2" w:rsidRPr="00C017D2">
        <w:rPr>
          <w:rFonts w:ascii="Times New Roman" w:hAnsi="Times New Roman" w:cs="Times New Roman"/>
          <w:sz w:val="28"/>
          <w:szCs w:val="28"/>
        </w:rPr>
        <w:t xml:space="preserve"> и значительно сократилось </w:t>
      </w:r>
      <w:r w:rsidR="00C017D2" w:rsidRPr="00C017D2">
        <w:rPr>
          <w:rFonts w:ascii="Times New Roman" w:hAnsi="Times New Roman" w:cs="Times New Roman"/>
          <w:b/>
          <w:sz w:val="28"/>
          <w:szCs w:val="28"/>
        </w:rPr>
        <w:t>Время постановки на кадастровый учет</w:t>
      </w:r>
      <w:r w:rsidR="00EB4574">
        <w:rPr>
          <w:rFonts w:ascii="Times New Roman" w:hAnsi="Times New Roman" w:cs="Times New Roman"/>
          <w:sz w:val="28"/>
          <w:szCs w:val="28"/>
        </w:rPr>
        <w:t>.</w:t>
      </w:r>
      <w:r w:rsidR="00C017D2">
        <w:rPr>
          <w:rFonts w:ascii="Times New Roman" w:hAnsi="Times New Roman" w:cs="Times New Roman"/>
          <w:sz w:val="28"/>
          <w:szCs w:val="28"/>
        </w:rPr>
        <w:t xml:space="preserve"> Таким образом, наблюдается положительная динамика по 5 из 6 </w:t>
      </w:r>
      <w:proofErr w:type="spellStart"/>
      <w:r w:rsidR="00C017D2">
        <w:rPr>
          <w:rFonts w:ascii="Times New Roman" w:hAnsi="Times New Roman" w:cs="Times New Roman"/>
          <w:sz w:val="28"/>
          <w:szCs w:val="28"/>
        </w:rPr>
        <w:t>рейтингуемых</w:t>
      </w:r>
      <w:proofErr w:type="spellEnd"/>
      <w:r w:rsidR="00C017D2">
        <w:rPr>
          <w:rFonts w:ascii="Times New Roman" w:hAnsi="Times New Roman" w:cs="Times New Roman"/>
          <w:sz w:val="28"/>
          <w:szCs w:val="28"/>
        </w:rPr>
        <w:t xml:space="preserve"> показателей.</w:t>
      </w:r>
    </w:p>
    <w:p w:rsidR="001C6376" w:rsidRPr="00C017D2" w:rsidRDefault="00C017D2" w:rsidP="00C017D2">
      <w:pPr>
        <w:jc w:val="both"/>
        <w:rPr>
          <w:rFonts w:ascii="Times New Roman" w:hAnsi="Times New Roman" w:cs="Times New Roman"/>
          <w:sz w:val="25"/>
          <w:szCs w:val="25"/>
        </w:rPr>
      </w:pPr>
      <w:r>
        <w:rPr>
          <w:rFonts w:ascii="Times New Roman" w:hAnsi="Times New Roman" w:cs="Times New Roman"/>
          <w:sz w:val="28"/>
          <w:szCs w:val="28"/>
        </w:rPr>
        <w:t>При этом</w:t>
      </w:r>
      <w:r w:rsidR="001C6376" w:rsidRPr="00640D5D">
        <w:rPr>
          <w:rFonts w:ascii="Times New Roman" w:hAnsi="Times New Roman" w:cs="Times New Roman"/>
          <w:sz w:val="28"/>
          <w:szCs w:val="28"/>
        </w:rPr>
        <w:t xml:space="preserve"> республика по </w:t>
      </w:r>
      <w:r w:rsidR="00EB4574">
        <w:rPr>
          <w:rFonts w:ascii="Times New Roman" w:hAnsi="Times New Roman" w:cs="Times New Roman"/>
          <w:sz w:val="28"/>
          <w:szCs w:val="28"/>
        </w:rPr>
        <w:t>4 из 6 показателей</w:t>
      </w:r>
      <w:r w:rsidR="001C6376" w:rsidRPr="00640D5D">
        <w:rPr>
          <w:rFonts w:ascii="Times New Roman" w:hAnsi="Times New Roman" w:cs="Times New Roman"/>
          <w:sz w:val="28"/>
          <w:szCs w:val="28"/>
        </w:rPr>
        <w:t xml:space="preserve"> находится в высших группах рейтинга </w:t>
      </w:r>
      <w:r w:rsidR="001C6376" w:rsidRPr="0016075F">
        <w:rPr>
          <w:rFonts w:ascii="Times New Roman" w:hAnsi="Times New Roman" w:cs="Times New Roman"/>
          <w:b/>
          <w:sz w:val="28"/>
          <w:szCs w:val="28"/>
        </w:rPr>
        <w:t xml:space="preserve">А </w:t>
      </w:r>
      <w:r w:rsidR="001C6376" w:rsidRPr="00640D5D">
        <w:rPr>
          <w:rFonts w:ascii="Times New Roman" w:hAnsi="Times New Roman" w:cs="Times New Roman"/>
          <w:sz w:val="28"/>
          <w:szCs w:val="28"/>
        </w:rPr>
        <w:t xml:space="preserve">и </w:t>
      </w:r>
      <w:r w:rsidR="001C6376" w:rsidRPr="0016075F">
        <w:rPr>
          <w:rFonts w:ascii="Times New Roman" w:hAnsi="Times New Roman" w:cs="Times New Roman"/>
          <w:b/>
          <w:sz w:val="28"/>
          <w:szCs w:val="28"/>
        </w:rPr>
        <w:t>В</w:t>
      </w:r>
      <w:r w:rsidR="001C6376" w:rsidRPr="00640D5D">
        <w:rPr>
          <w:rFonts w:ascii="Times New Roman" w:hAnsi="Times New Roman" w:cs="Times New Roman"/>
          <w:sz w:val="28"/>
          <w:szCs w:val="28"/>
        </w:rPr>
        <w:t xml:space="preserve">.  </w:t>
      </w:r>
    </w:p>
    <w:p w:rsidR="00A05F67" w:rsidRPr="00A05F67" w:rsidRDefault="00A05F67" w:rsidP="00A05F67">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w:t>
      </w:r>
      <w:r w:rsidRPr="00A05F67">
        <w:rPr>
          <w:rFonts w:ascii="Times New Roman" w:hAnsi="Times New Roman" w:cs="Times New Roman"/>
          <w:sz w:val="28"/>
          <w:szCs w:val="28"/>
        </w:rPr>
        <w:t>сроки осуществления кадастрового учета и регистрации прав проводятся не только в пределах срока, установленного законодательством, но и значительно быстрее. Например, сделки по ипотеке, документы по которым поступают в электронном виде, регистрируются управлением за 24 часа. При этом количество заявлений на ипотеку выросло практически в 3 раза – с 4189 в 2022 году до 12 154 в 2023. Из них 85% были поданы в электронном виде, а значит, зарегистрированы в течение одного рабочего дня.</w:t>
      </w:r>
    </w:p>
    <w:p w:rsidR="001C6376" w:rsidRPr="00F357C0" w:rsidRDefault="001C6376"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Наблюд</w:t>
      </w:r>
      <w:r w:rsidRPr="00F357C0">
        <w:rPr>
          <w:rFonts w:ascii="Times New Roman" w:hAnsi="Times New Roman" w:cs="Times New Roman"/>
          <w:sz w:val="28"/>
          <w:szCs w:val="28"/>
        </w:rPr>
        <w:t xml:space="preserve">ается положительная тенденция </w:t>
      </w:r>
      <w:r w:rsidRPr="00F357C0">
        <w:rPr>
          <w:rFonts w:ascii="Times New Roman" w:eastAsia="Times New Roman" w:hAnsi="Times New Roman" w:cs="Times New Roman"/>
          <w:color w:val="000000"/>
          <w:sz w:val="28"/>
          <w:szCs w:val="28"/>
          <w:lang w:eastAsia="ru-RU"/>
        </w:rPr>
        <w:t xml:space="preserve">по </w:t>
      </w:r>
      <w:r>
        <w:rPr>
          <w:rFonts w:ascii="Times New Roman" w:eastAsia="Times New Roman" w:hAnsi="Times New Roman" w:cs="Times New Roman"/>
          <w:color w:val="000000"/>
          <w:sz w:val="28"/>
          <w:szCs w:val="28"/>
          <w:lang w:eastAsia="ru-RU"/>
        </w:rPr>
        <w:t xml:space="preserve">фактору </w:t>
      </w:r>
      <w:r w:rsidRPr="00F357C0">
        <w:rPr>
          <w:rFonts w:ascii="Times New Roman" w:eastAsia="Times New Roman" w:hAnsi="Times New Roman" w:cs="Times New Roman"/>
          <w:color w:val="000000"/>
          <w:sz w:val="28"/>
          <w:szCs w:val="28"/>
          <w:lang w:eastAsia="ru-RU"/>
        </w:rPr>
        <w:t xml:space="preserve">А3 </w:t>
      </w:r>
      <w:r w:rsidR="00A10C30">
        <w:rPr>
          <w:rFonts w:ascii="Times New Roman" w:eastAsia="Times New Roman" w:hAnsi="Times New Roman" w:cs="Times New Roman"/>
          <w:color w:val="000000"/>
          <w:sz w:val="28"/>
          <w:szCs w:val="28"/>
          <w:lang w:eastAsia="ru-RU"/>
        </w:rPr>
        <w:t>«</w:t>
      </w:r>
      <w:r w:rsidRPr="00F357C0">
        <w:rPr>
          <w:rFonts w:ascii="Times New Roman" w:eastAsia="Times New Roman" w:hAnsi="Times New Roman" w:cs="Times New Roman"/>
          <w:color w:val="000000"/>
          <w:sz w:val="28"/>
          <w:szCs w:val="28"/>
          <w:lang w:eastAsia="ru-RU"/>
        </w:rPr>
        <w:t>Эффективность процедур по регистрации прав собственности»:</w:t>
      </w:r>
    </w:p>
    <w:p w:rsidR="001C6376" w:rsidRPr="00F357C0" w:rsidRDefault="001C6376" w:rsidP="001C6376">
      <w:pPr>
        <w:shd w:val="clear" w:color="auto" w:fill="FFFFFF"/>
        <w:spacing w:after="0" w:line="240" w:lineRule="auto"/>
        <w:ind w:firstLine="708"/>
        <w:jc w:val="both"/>
        <w:rPr>
          <w:rFonts w:ascii="Times New Roman" w:hAnsi="Times New Roman" w:cs="Times New Roman"/>
          <w:sz w:val="28"/>
          <w:szCs w:val="28"/>
        </w:rPr>
      </w:pPr>
      <w:r w:rsidRPr="00F357C0">
        <w:rPr>
          <w:rFonts w:ascii="Times New Roman" w:eastAsia="Times New Roman" w:hAnsi="Times New Roman" w:cs="Times New Roman"/>
          <w:color w:val="000000"/>
          <w:sz w:val="28"/>
          <w:szCs w:val="28"/>
          <w:lang w:eastAsia="ru-RU"/>
        </w:rPr>
        <w:t xml:space="preserve">- Показатель «А3.1 Среднее время регистрации прав собственности» - положительная динамика, группа </w:t>
      </w:r>
      <w:r w:rsidR="00EB4574" w:rsidRPr="00F357C0">
        <w:rPr>
          <w:rFonts w:ascii="Times New Roman" w:eastAsia="Times New Roman" w:hAnsi="Times New Roman" w:cs="Times New Roman"/>
          <w:b/>
          <w:color w:val="000000"/>
          <w:sz w:val="28"/>
          <w:szCs w:val="28"/>
          <w:lang w:eastAsia="ru-RU"/>
        </w:rPr>
        <w:t>А</w:t>
      </w:r>
      <w:r w:rsidR="00EB4574">
        <w:rPr>
          <w:rFonts w:ascii="Times New Roman" w:eastAsia="Times New Roman" w:hAnsi="Times New Roman" w:cs="Times New Roman"/>
          <w:color w:val="000000"/>
          <w:sz w:val="28"/>
          <w:szCs w:val="28"/>
          <w:lang w:eastAsia="ru-RU"/>
        </w:rPr>
        <w:t>в 2022</w:t>
      </w:r>
      <w:r w:rsidR="00371AB2">
        <w:rPr>
          <w:rFonts w:ascii="Times New Roman" w:eastAsia="Times New Roman" w:hAnsi="Times New Roman" w:cs="Times New Roman"/>
          <w:color w:val="000000"/>
          <w:sz w:val="28"/>
          <w:szCs w:val="28"/>
          <w:lang w:eastAsia="ru-RU"/>
        </w:rPr>
        <w:t>,</w:t>
      </w:r>
      <w:r w:rsidRPr="00F357C0">
        <w:rPr>
          <w:rFonts w:ascii="Times New Roman" w:eastAsia="Times New Roman" w:hAnsi="Times New Roman" w:cs="Times New Roman"/>
          <w:color w:val="000000"/>
          <w:sz w:val="28"/>
          <w:szCs w:val="28"/>
          <w:lang w:eastAsia="ru-RU"/>
        </w:rPr>
        <w:t xml:space="preserve"> группа  </w:t>
      </w:r>
      <w:r w:rsidRPr="00F357C0">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color w:val="000000"/>
          <w:sz w:val="28"/>
          <w:szCs w:val="28"/>
          <w:lang w:eastAsia="ru-RU"/>
        </w:rPr>
        <w:t xml:space="preserve">в </w:t>
      </w:r>
      <w:r w:rsidRPr="00F357C0">
        <w:rPr>
          <w:rFonts w:ascii="Times New Roman" w:eastAsia="Times New Roman" w:hAnsi="Times New Roman" w:cs="Times New Roman"/>
          <w:color w:val="000000"/>
          <w:sz w:val="28"/>
          <w:szCs w:val="28"/>
          <w:lang w:eastAsia="ru-RU"/>
        </w:rPr>
        <w:t>202</w:t>
      </w:r>
      <w:r w:rsidR="00EB4574">
        <w:rPr>
          <w:rFonts w:ascii="Times New Roman" w:eastAsia="Times New Roman" w:hAnsi="Times New Roman" w:cs="Times New Roman"/>
          <w:color w:val="000000"/>
          <w:sz w:val="28"/>
          <w:szCs w:val="28"/>
          <w:lang w:eastAsia="ru-RU"/>
        </w:rPr>
        <w:t>3</w:t>
      </w:r>
      <w:r w:rsidRPr="00F357C0">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у</w:t>
      </w:r>
      <w:r w:rsidRPr="00F357C0">
        <w:rPr>
          <w:rFonts w:ascii="Times New Roman" w:eastAsia="Times New Roman" w:hAnsi="Times New Roman" w:cs="Times New Roman"/>
          <w:color w:val="000000"/>
          <w:sz w:val="28"/>
          <w:szCs w:val="28"/>
          <w:lang w:eastAsia="ru-RU"/>
        </w:rPr>
        <w:t xml:space="preserve"> (количество </w:t>
      </w:r>
      <w:r w:rsidRPr="00F357C0">
        <w:rPr>
          <w:rFonts w:ascii="Times New Roman" w:eastAsia="Times New Roman" w:hAnsi="Times New Roman" w:cs="Times New Roman"/>
          <w:color w:val="000000"/>
          <w:sz w:val="28"/>
          <w:szCs w:val="28"/>
          <w:lang w:eastAsia="ru-RU"/>
        </w:rPr>
        <w:lastRenderedPageBreak/>
        <w:t xml:space="preserve">рабочих дней </w:t>
      </w:r>
      <w:r>
        <w:rPr>
          <w:rFonts w:ascii="Times New Roman" w:eastAsia="Times New Roman" w:hAnsi="Times New Roman" w:cs="Times New Roman"/>
          <w:color w:val="000000"/>
          <w:sz w:val="28"/>
          <w:szCs w:val="28"/>
          <w:lang w:eastAsia="ru-RU"/>
        </w:rPr>
        <w:t>сократилось</w:t>
      </w:r>
      <w:r w:rsidRPr="00F357C0">
        <w:rPr>
          <w:rFonts w:ascii="Times New Roman" w:eastAsia="Times New Roman" w:hAnsi="Times New Roman" w:cs="Times New Roman"/>
          <w:color w:val="000000"/>
          <w:sz w:val="28"/>
          <w:szCs w:val="28"/>
          <w:lang w:eastAsia="ru-RU"/>
        </w:rPr>
        <w:t xml:space="preserve"> с </w:t>
      </w:r>
      <w:r w:rsidR="00EB4574">
        <w:rPr>
          <w:rFonts w:ascii="Times New Roman" w:eastAsia="Times New Roman" w:hAnsi="Times New Roman" w:cs="Times New Roman"/>
          <w:color w:val="000000"/>
          <w:sz w:val="28"/>
          <w:szCs w:val="28"/>
          <w:lang w:eastAsia="ru-RU"/>
        </w:rPr>
        <w:t>5,00</w:t>
      </w:r>
      <w:r w:rsidRPr="00F357C0">
        <w:rPr>
          <w:rFonts w:ascii="Times New Roman" w:eastAsia="Times New Roman" w:hAnsi="Times New Roman" w:cs="Times New Roman"/>
          <w:color w:val="000000"/>
          <w:sz w:val="28"/>
          <w:szCs w:val="28"/>
          <w:lang w:eastAsia="ru-RU"/>
        </w:rPr>
        <w:t xml:space="preserve"> до </w:t>
      </w:r>
      <w:r w:rsidR="00EB4574">
        <w:rPr>
          <w:rFonts w:ascii="Times New Roman" w:eastAsia="Times New Roman" w:hAnsi="Times New Roman" w:cs="Times New Roman"/>
          <w:color w:val="000000"/>
          <w:sz w:val="28"/>
          <w:szCs w:val="28"/>
          <w:lang w:eastAsia="ru-RU"/>
        </w:rPr>
        <w:t>4,9</w:t>
      </w:r>
      <w:r w:rsidRPr="00F357C0">
        <w:rPr>
          <w:rFonts w:ascii="Times New Roman" w:hAnsi="Times New Roman" w:cs="Times New Roman"/>
          <w:sz w:val="28"/>
          <w:szCs w:val="28"/>
        </w:rPr>
        <w:t>).</w:t>
      </w:r>
      <w:r w:rsidR="00EB4574">
        <w:rPr>
          <w:rFonts w:ascii="Times New Roman" w:hAnsi="Times New Roman" w:cs="Times New Roman"/>
          <w:sz w:val="28"/>
          <w:szCs w:val="28"/>
        </w:rPr>
        <w:t xml:space="preserve"> При этом необходимо отметить, что 2021 году этот показатель составлял 20,</w:t>
      </w:r>
      <w:r w:rsidR="00371AB2">
        <w:rPr>
          <w:rFonts w:ascii="Times New Roman" w:hAnsi="Times New Roman" w:cs="Times New Roman"/>
          <w:sz w:val="28"/>
          <w:szCs w:val="28"/>
        </w:rPr>
        <w:t>75 и</w:t>
      </w:r>
      <w:r w:rsidR="00EB4574">
        <w:rPr>
          <w:rFonts w:ascii="Times New Roman" w:hAnsi="Times New Roman" w:cs="Times New Roman"/>
          <w:sz w:val="28"/>
          <w:szCs w:val="28"/>
        </w:rPr>
        <w:t xml:space="preserve"> группа была </w:t>
      </w:r>
      <w:r w:rsidR="00EB4574" w:rsidRPr="00F357C0">
        <w:rPr>
          <w:rFonts w:ascii="Times New Roman" w:hAnsi="Times New Roman" w:cs="Times New Roman"/>
          <w:b/>
          <w:sz w:val="28"/>
          <w:szCs w:val="28"/>
        </w:rPr>
        <w:t>D</w:t>
      </w:r>
      <w:r w:rsidR="00EB4574">
        <w:rPr>
          <w:rFonts w:ascii="Times New Roman" w:hAnsi="Times New Roman" w:cs="Times New Roman"/>
          <w:b/>
          <w:sz w:val="28"/>
          <w:szCs w:val="28"/>
        </w:rPr>
        <w:t>.</w:t>
      </w:r>
    </w:p>
    <w:p w:rsidR="001C6376" w:rsidRDefault="001C6376" w:rsidP="001C6376">
      <w:pPr>
        <w:shd w:val="clear" w:color="auto" w:fill="FFFFFF"/>
        <w:spacing w:after="0" w:line="240" w:lineRule="auto"/>
        <w:ind w:firstLine="708"/>
        <w:jc w:val="both"/>
        <w:rPr>
          <w:rFonts w:ascii="Times New Roman" w:hAnsi="Times New Roman" w:cs="Times New Roman"/>
          <w:sz w:val="28"/>
          <w:szCs w:val="28"/>
        </w:rPr>
      </w:pPr>
      <w:r w:rsidRPr="00F357C0">
        <w:rPr>
          <w:rFonts w:ascii="Times New Roman" w:hAnsi="Times New Roman" w:cs="Times New Roman"/>
          <w:sz w:val="28"/>
          <w:szCs w:val="28"/>
        </w:rPr>
        <w:sym w:font="Symbol" w:char="F02D"/>
      </w:r>
      <w:r w:rsidRPr="00F357C0">
        <w:rPr>
          <w:rFonts w:ascii="Times New Roman" w:hAnsi="Times New Roman" w:cs="Times New Roman"/>
          <w:sz w:val="28"/>
          <w:szCs w:val="28"/>
        </w:rPr>
        <w:t xml:space="preserve"> Показатель «А3.3 Оценка деятельности органов власти по регистрации прав на недвижимое имущество и сделок с ним» - положительная динамика, группа </w:t>
      </w:r>
      <w:proofErr w:type="spellStart"/>
      <w:r w:rsidR="00EB4574" w:rsidRPr="00F357C0">
        <w:rPr>
          <w:rFonts w:ascii="Times New Roman" w:hAnsi="Times New Roman" w:cs="Times New Roman"/>
          <w:b/>
          <w:sz w:val="28"/>
          <w:szCs w:val="28"/>
        </w:rPr>
        <w:t>В</w:t>
      </w:r>
      <w:r w:rsidR="00EB4574">
        <w:rPr>
          <w:rFonts w:ascii="Times New Roman" w:hAnsi="Times New Roman" w:cs="Times New Roman"/>
          <w:sz w:val="28"/>
          <w:szCs w:val="28"/>
        </w:rPr>
        <w:t>в</w:t>
      </w:r>
      <w:proofErr w:type="spellEnd"/>
      <w:r w:rsidR="00EB4574">
        <w:rPr>
          <w:rFonts w:ascii="Times New Roman" w:hAnsi="Times New Roman" w:cs="Times New Roman"/>
          <w:sz w:val="28"/>
          <w:szCs w:val="28"/>
        </w:rPr>
        <w:t xml:space="preserve"> 2022</w:t>
      </w:r>
      <w:r w:rsidRPr="00F357C0">
        <w:rPr>
          <w:rFonts w:ascii="Times New Roman" w:hAnsi="Times New Roman" w:cs="Times New Roman"/>
          <w:sz w:val="28"/>
          <w:szCs w:val="28"/>
        </w:rPr>
        <w:t xml:space="preserve"> году, </w:t>
      </w:r>
      <w:r w:rsidR="00EB4574">
        <w:rPr>
          <w:rFonts w:ascii="Times New Roman" w:hAnsi="Times New Roman" w:cs="Times New Roman"/>
          <w:sz w:val="28"/>
          <w:szCs w:val="28"/>
        </w:rPr>
        <w:t xml:space="preserve">также </w:t>
      </w:r>
      <w:r w:rsidRPr="00F357C0">
        <w:rPr>
          <w:rFonts w:ascii="Times New Roman" w:hAnsi="Times New Roman" w:cs="Times New Roman"/>
          <w:sz w:val="28"/>
          <w:szCs w:val="28"/>
        </w:rPr>
        <w:t>группа</w:t>
      </w:r>
      <w:proofErr w:type="gramStart"/>
      <w:r w:rsidRPr="00F357C0">
        <w:rPr>
          <w:rFonts w:ascii="Times New Roman" w:hAnsi="Times New Roman" w:cs="Times New Roman"/>
          <w:sz w:val="28"/>
          <w:szCs w:val="28"/>
        </w:rPr>
        <w:t xml:space="preserve"> </w:t>
      </w:r>
      <w:r w:rsidRPr="00F357C0">
        <w:rPr>
          <w:rFonts w:ascii="Times New Roman" w:hAnsi="Times New Roman" w:cs="Times New Roman"/>
          <w:b/>
          <w:sz w:val="28"/>
          <w:szCs w:val="28"/>
        </w:rPr>
        <w:t>В</w:t>
      </w:r>
      <w:proofErr w:type="gramEnd"/>
      <w:r w:rsidRPr="00F357C0">
        <w:rPr>
          <w:rFonts w:ascii="Times New Roman" w:hAnsi="Times New Roman" w:cs="Times New Roman"/>
          <w:b/>
          <w:sz w:val="28"/>
          <w:szCs w:val="28"/>
        </w:rPr>
        <w:t xml:space="preserve"> </w:t>
      </w:r>
      <w:proofErr w:type="spellStart"/>
      <w:r w:rsidR="00EB4574">
        <w:rPr>
          <w:rFonts w:ascii="Times New Roman" w:hAnsi="Times New Roman" w:cs="Times New Roman"/>
          <w:sz w:val="28"/>
          <w:szCs w:val="28"/>
        </w:rPr>
        <w:t>в</w:t>
      </w:r>
      <w:proofErr w:type="spellEnd"/>
      <w:r w:rsidR="00EB4574">
        <w:rPr>
          <w:rFonts w:ascii="Times New Roman" w:hAnsi="Times New Roman" w:cs="Times New Roman"/>
          <w:sz w:val="28"/>
          <w:szCs w:val="28"/>
        </w:rPr>
        <w:t xml:space="preserve"> 2023</w:t>
      </w:r>
      <w:r w:rsidRPr="00F357C0">
        <w:rPr>
          <w:rFonts w:ascii="Times New Roman" w:hAnsi="Times New Roman" w:cs="Times New Roman"/>
          <w:sz w:val="28"/>
          <w:szCs w:val="28"/>
        </w:rPr>
        <w:t xml:space="preserve"> году (средний балл увеличился с </w:t>
      </w:r>
      <w:r w:rsidR="00A10C30">
        <w:rPr>
          <w:rFonts w:ascii="Times New Roman" w:hAnsi="Times New Roman" w:cs="Times New Roman"/>
          <w:sz w:val="28"/>
          <w:szCs w:val="28"/>
        </w:rPr>
        <w:t>4,7 до 4,76</w:t>
      </w:r>
      <w:r w:rsidRPr="00F357C0">
        <w:rPr>
          <w:rFonts w:ascii="Times New Roman" w:hAnsi="Times New Roman" w:cs="Times New Roman"/>
          <w:sz w:val="28"/>
          <w:szCs w:val="28"/>
        </w:rPr>
        <w:t>).</w:t>
      </w:r>
    </w:p>
    <w:p w:rsidR="00343744" w:rsidRPr="00C017D2" w:rsidRDefault="00343744" w:rsidP="00343744">
      <w:pPr>
        <w:shd w:val="clear" w:color="auto" w:fill="FFFFFF"/>
        <w:spacing w:after="0" w:line="240" w:lineRule="auto"/>
        <w:ind w:firstLine="708"/>
        <w:jc w:val="both"/>
        <w:rPr>
          <w:rFonts w:ascii="Times New Roman" w:hAnsi="Times New Roman" w:cs="Times New Roman"/>
          <w:sz w:val="28"/>
          <w:szCs w:val="28"/>
        </w:rPr>
      </w:pPr>
      <w:r w:rsidRPr="00F357C0">
        <w:rPr>
          <w:rFonts w:ascii="Times New Roman" w:eastAsia="Times New Roman" w:hAnsi="Times New Roman" w:cs="Times New Roman"/>
          <w:i/>
          <w:sz w:val="28"/>
          <w:szCs w:val="28"/>
          <w:lang w:eastAsia="ru-RU"/>
        </w:rPr>
        <w:t>Снижение оценки произошло только по одно</w:t>
      </w:r>
      <w:r w:rsidRPr="00C017D2">
        <w:rPr>
          <w:rFonts w:ascii="Times New Roman" w:hAnsi="Times New Roman" w:cs="Times New Roman"/>
          <w:sz w:val="28"/>
          <w:szCs w:val="28"/>
        </w:rPr>
        <w:t>му показателю:</w:t>
      </w:r>
      <w:r w:rsidR="00C017D2" w:rsidRPr="00C017D2">
        <w:rPr>
          <w:rFonts w:ascii="Times New Roman" w:hAnsi="Times New Roman" w:cs="Times New Roman"/>
          <w:sz w:val="28"/>
          <w:szCs w:val="28"/>
        </w:rPr>
        <w:t xml:space="preserve"> Среднее количество процедур при регистрации прав собственности</w:t>
      </w:r>
      <w:r w:rsidR="00C017D2">
        <w:rPr>
          <w:rFonts w:ascii="Times New Roman" w:hAnsi="Times New Roman" w:cs="Times New Roman"/>
          <w:sz w:val="28"/>
          <w:szCs w:val="28"/>
        </w:rPr>
        <w:t xml:space="preserve">, с 2 в 2022 году до 2,33 в 2023. Выборочный опрос респондентов показал, что при ответе на вопросы о количестве процедур они считали одно обращение в МФЦ как две процедуры (подача документов и получение по итогам оказанной услуги). Таким </w:t>
      </w:r>
      <w:r w:rsidR="00371AB2">
        <w:rPr>
          <w:rFonts w:ascii="Times New Roman" w:hAnsi="Times New Roman" w:cs="Times New Roman"/>
          <w:sz w:val="28"/>
          <w:szCs w:val="28"/>
        </w:rPr>
        <w:t>образом,</w:t>
      </w:r>
      <w:r w:rsidR="00C017D2">
        <w:rPr>
          <w:rFonts w:ascii="Times New Roman" w:hAnsi="Times New Roman" w:cs="Times New Roman"/>
          <w:sz w:val="28"/>
          <w:szCs w:val="28"/>
        </w:rPr>
        <w:t xml:space="preserve"> фактически увеличения количества процедур не произошло. </w:t>
      </w:r>
    </w:p>
    <w:p w:rsidR="00C017D2" w:rsidRPr="00F357C0" w:rsidRDefault="00C017D2" w:rsidP="00343744">
      <w:pPr>
        <w:shd w:val="clear" w:color="auto" w:fill="FFFFFF"/>
        <w:spacing w:after="0" w:line="240" w:lineRule="auto"/>
        <w:ind w:firstLine="708"/>
        <w:jc w:val="both"/>
        <w:rPr>
          <w:rFonts w:ascii="Times New Roman" w:eastAsia="Times New Roman" w:hAnsi="Times New Roman" w:cs="Times New Roman"/>
          <w:i/>
          <w:sz w:val="28"/>
          <w:szCs w:val="28"/>
          <w:lang w:eastAsia="ru-RU"/>
        </w:rPr>
      </w:pPr>
    </w:p>
    <w:p w:rsidR="001C6376" w:rsidRDefault="001C6376" w:rsidP="001C6376">
      <w:pPr>
        <w:shd w:val="clear" w:color="auto" w:fill="FFFFFF"/>
        <w:spacing w:after="0" w:line="240" w:lineRule="auto"/>
        <w:ind w:firstLine="708"/>
        <w:jc w:val="both"/>
        <w:rPr>
          <w:rFonts w:ascii="Times New Roman" w:hAnsi="Times New Roman" w:cs="Times New Roman"/>
          <w:sz w:val="28"/>
          <w:szCs w:val="28"/>
        </w:rPr>
      </w:pPr>
    </w:p>
    <w:p w:rsidR="001C6376" w:rsidRPr="00363447" w:rsidRDefault="001C6376" w:rsidP="001C6376">
      <w:pPr>
        <w:shd w:val="clear" w:color="auto" w:fill="FFFFFF"/>
        <w:spacing w:after="0" w:line="240" w:lineRule="auto"/>
        <w:ind w:firstLine="708"/>
        <w:jc w:val="center"/>
        <w:rPr>
          <w:rFonts w:ascii="Times New Roman" w:hAnsi="Times New Roman" w:cs="Times New Roman"/>
          <w:b/>
          <w:sz w:val="28"/>
          <w:szCs w:val="28"/>
        </w:rPr>
      </w:pPr>
      <w:r w:rsidRPr="00363447">
        <w:rPr>
          <w:rFonts w:ascii="Times New Roman" w:hAnsi="Times New Roman" w:cs="Times New Roman"/>
          <w:b/>
          <w:sz w:val="28"/>
          <w:szCs w:val="28"/>
        </w:rPr>
        <w:t>Динамика показателей фактора АЗ:</w:t>
      </w:r>
    </w:p>
    <w:p w:rsidR="001C6376" w:rsidRDefault="001C6376" w:rsidP="001C6376">
      <w:pPr>
        <w:shd w:val="clear" w:color="auto" w:fill="FFFFFF"/>
        <w:spacing w:after="0" w:line="240" w:lineRule="auto"/>
        <w:ind w:firstLine="708"/>
        <w:jc w:val="both"/>
        <w:rPr>
          <w:rFonts w:ascii="Times New Roman" w:hAnsi="Times New Roman" w:cs="Times New Roman"/>
          <w:sz w:val="28"/>
          <w:szCs w:val="28"/>
        </w:rPr>
      </w:pPr>
    </w:p>
    <w:tbl>
      <w:tblPr>
        <w:tblStyle w:val="a3"/>
        <w:tblW w:w="0" w:type="auto"/>
        <w:tblInd w:w="-459" w:type="dxa"/>
        <w:tblLook w:val="04A0"/>
      </w:tblPr>
      <w:tblGrid>
        <w:gridCol w:w="840"/>
        <w:gridCol w:w="263"/>
        <w:gridCol w:w="2563"/>
        <w:gridCol w:w="1571"/>
        <w:gridCol w:w="841"/>
        <w:gridCol w:w="725"/>
        <w:gridCol w:w="832"/>
        <w:gridCol w:w="717"/>
        <w:gridCol w:w="961"/>
        <w:gridCol w:w="717"/>
      </w:tblGrid>
      <w:tr w:rsidR="001C6376" w:rsidTr="005D2833">
        <w:tc>
          <w:tcPr>
            <w:tcW w:w="1134" w:type="dxa"/>
            <w:gridSpan w:val="2"/>
          </w:tcPr>
          <w:p w:rsidR="001C6376" w:rsidRDefault="001C6376" w:rsidP="005D2833">
            <w:pPr>
              <w:jc w:val="both"/>
              <w:rPr>
                <w:rFonts w:ascii="Times New Roman" w:hAnsi="Times New Roman" w:cs="Times New Roman"/>
                <w:sz w:val="28"/>
                <w:szCs w:val="28"/>
              </w:rPr>
            </w:pPr>
            <w:r>
              <w:rPr>
                <w:rFonts w:ascii="Times New Roman" w:hAnsi="Times New Roman" w:cs="Times New Roman"/>
                <w:sz w:val="28"/>
                <w:szCs w:val="28"/>
              </w:rPr>
              <w:t>№</w:t>
            </w:r>
          </w:p>
        </w:tc>
        <w:tc>
          <w:tcPr>
            <w:tcW w:w="2627" w:type="dxa"/>
          </w:tcPr>
          <w:p w:rsidR="001C6376" w:rsidRDefault="001C6376" w:rsidP="005D2833">
            <w:pPr>
              <w:jc w:val="both"/>
              <w:rPr>
                <w:rFonts w:ascii="Times New Roman" w:hAnsi="Times New Roman" w:cs="Times New Roman"/>
                <w:sz w:val="28"/>
                <w:szCs w:val="28"/>
              </w:rPr>
            </w:pPr>
            <w:r>
              <w:rPr>
                <w:rFonts w:ascii="Times New Roman" w:hAnsi="Times New Roman" w:cs="Times New Roman"/>
                <w:sz w:val="28"/>
                <w:szCs w:val="28"/>
              </w:rPr>
              <w:t>Республика Тыва</w:t>
            </w:r>
          </w:p>
        </w:tc>
        <w:tc>
          <w:tcPr>
            <w:tcW w:w="1579" w:type="dxa"/>
            <w:vMerge w:val="restart"/>
          </w:tcPr>
          <w:p w:rsidR="001C6376" w:rsidRDefault="001C6376" w:rsidP="005D2833">
            <w:pPr>
              <w:jc w:val="both"/>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4690" w:type="dxa"/>
            <w:gridSpan w:val="6"/>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Значение</w:t>
            </w:r>
          </w:p>
        </w:tc>
      </w:tr>
      <w:tr w:rsidR="00A10C30" w:rsidTr="005D2833">
        <w:tc>
          <w:tcPr>
            <w:tcW w:w="1134" w:type="dxa"/>
            <w:gridSpan w:val="2"/>
          </w:tcPr>
          <w:p w:rsidR="001C6376" w:rsidRDefault="001C6376" w:rsidP="005D2833">
            <w:pPr>
              <w:jc w:val="both"/>
              <w:rPr>
                <w:rFonts w:ascii="Times New Roman" w:hAnsi="Times New Roman" w:cs="Times New Roman"/>
                <w:sz w:val="28"/>
                <w:szCs w:val="28"/>
              </w:rPr>
            </w:pPr>
          </w:p>
        </w:tc>
        <w:tc>
          <w:tcPr>
            <w:tcW w:w="2627" w:type="dxa"/>
          </w:tcPr>
          <w:p w:rsidR="001C6376" w:rsidRDefault="001C6376" w:rsidP="005D2833">
            <w:pPr>
              <w:jc w:val="both"/>
              <w:rPr>
                <w:rFonts w:ascii="Times New Roman" w:hAnsi="Times New Roman" w:cs="Times New Roman"/>
                <w:sz w:val="28"/>
                <w:szCs w:val="28"/>
              </w:rPr>
            </w:pPr>
          </w:p>
        </w:tc>
        <w:tc>
          <w:tcPr>
            <w:tcW w:w="1579" w:type="dxa"/>
            <w:vMerge/>
          </w:tcPr>
          <w:p w:rsidR="001C6376" w:rsidRDefault="001C6376" w:rsidP="005D2833">
            <w:pPr>
              <w:jc w:val="both"/>
              <w:rPr>
                <w:rFonts w:ascii="Times New Roman" w:hAnsi="Times New Roman" w:cs="Times New Roman"/>
                <w:sz w:val="28"/>
                <w:szCs w:val="28"/>
              </w:rPr>
            </w:pPr>
          </w:p>
        </w:tc>
        <w:tc>
          <w:tcPr>
            <w:tcW w:w="1597" w:type="dxa"/>
            <w:gridSpan w:val="2"/>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2021</w:t>
            </w:r>
          </w:p>
        </w:tc>
        <w:tc>
          <w:tcPr>
            <w:tcW w:w="1588" w:type="dxa"/>
            <w:gridSpan w:val="2"/>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2022</w:t>
            </w:r>
          </w:p>
        </w:tc>
        <w:tc>
          <w:tcPr>
            <w:tcW w:w="1505" w:type="dxa"/>
            <w:gridSpan w:val="2"/>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2023</w:t>
            </w:r>
          </w:p>
        </w:tc>
      </w:tr>
      <w:tr w:rsidR="001C6376" w:rsidTr="005D2833">
        <w:tc>
          <w:tcPr>
            <w:tcW w:w="10030" w:type="dxa"/>
            <w:gridSpan w:val="10"/>
          </w:tcPr>
          <w:p w:rsidR="001C6376" w:rsidRDefault="001C6376" w:rsidP="005D2833">
            <w:pPr>
              <w:jc w:val="center"/>
              <w:rPr>
                <w:rFonts w:ascii="Times New Roman" w:hAnsi="Times New Roman" w:cs="Times New Roman"/>
                <w:sz w:val="28"/>
                <w:szCs w:val="28"/>
              </w:rPr>
            </w:pPr>
            <w:r w:rsidRPr="00F357C0">
              <w:rPr>
                <w:rFonts w:ascii="Times New Roman" w:eastAsia="Times New Roman" w:hAnsi="Times New Roman" w:cs="Times New Roman"/>
                <w:color w:val="000000"/>
                <w:sz w:val="28"/>
                <w:szCs w:val="28"/>
                <w:lang w:eastAsia="ru-RU"/>
              </w:rPr>
              <w:t>А3 Эффективность процедур по регистрации прав собственности</w:t>
            </w:r>
          </w:p>
        </w:tc>
      </w:tr>
      <w:tr w:rsidR="001C6376" w:rsidTr="005D2833">
        <w:tc>
          <w:tcPr>
            <w:tcW w:w="851" w:type="dxa"/>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rPr>
              <w:t>А 3.1</w:t>
            </w:r>
          </w:p>
        </w:tc>
        <w:tc>
          <w:tcPr>
            <w:tcW w:w="2910" w:type="dxa"/>
            <w:gridSpan w:val="2"/>
          </w:tcPr>
          <w:p w:rsidR="001C6376" w:rsidRPr="007814BE" w:rsidRDefault="001C6376" w:rsidP="005D2833">
            <w:pPr>
              <w:jc w:val="both"/>
              <w:rPr>
                <w:rFonts w:ascii="Times New Roman" w:hAnsi="Times New Roman" w:cs="Times New Roman"/>
                <w:sz w:val="25"/>
                <w:szCs w:val="25"/>
              </w:rPr>
            </w:pPr>
            <w:r w:rsidRPr="007814BE">
              <w:rPr>
                <w:rFonts w:ascii="Times New Roman" w:eastAsia="Times New Roman" w:hAnsi="Times New Roman" w:cs="Times New Roman"/>
                <w:color w:val="000000"/>
                <w:sz w:val="25"/>
                <w:szCs w:val="25"/>
                <w:lang w:eastAsia="ru-RU"/>
              </w:rPr>
              <w:t>Среднее время регистрации прав собственности</w:t>
            </w:r>
          </w:p>
        </w:tc>
        <w:tc>
          <w:tcPr>
            <w:tcW w:w="1579" w:type="dxa"/>
          </w:tcPr>
          <w:p w:rsidR="001C6376" w:rsidRPr="007814BE" w:rsidRDefault="001C6376" w:rsidP="005D2833">
            <w:pPr>
              <w:jc w:val="center"/>
              <w:rPr>
                <w:rFonts w:ascii="Times New Roman" w:hAnsi="Times New Roman" w:cs="Times New Roman"/>
                <w:sz w:val="25"/>
                <w:szCs w:val="25"/>
              </w:rPr>
            </w:pPr>
            <w:r w:rsidRPr="007814BE">
              <w:rPr>
                <w:rFonts w:ascii="Times New Roman" w:hAnsi="Times New Roman" w:cs="Times New Roman"/>
                <w:sz w:val="25"/>
                <w:szCs w:val="25"/>
              </w:rPr>
              <w:t>дни</w:t>
            </w:r>
          </w:p>
        </w:tc>
        <w:tc>
          <w:tcPr>
            <w:tcW w:w="846"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20,75</w:t>
            </w:r>
          </w:p>
        </w:tc>
        <w:tc>
          <w:tcPr>
            <w:tcW w:w="751" w:type="dxa"/>
          </w:tcPr>
          <w:p w:rsidR="001C6376" w:rsidRPr="007814BE" w:rsidRDefault="001C6376" w:rsidP="005D2833">
            <w:pPr>
              <w:jc w:val="both"/>
              <w:rPr>
                <w:rFonts w:ascii="Times New Roman" w:hAnsi="Times New Roman" w:cs="Times New Roman"/>
                <w:sz w:val="25"/>
                <w:szCs w:val="25"/>
                <w:lang w:val="en-US"/>
              </w:rPr>
            </w:pPr>
            <w:r w:rsidRPr="007814BE">
              <w:rPr>
                <w:rFonts w:ascii="Times New Roman" w:hAnsi="Times New Roman" w:cs="Times New Roman"/>
                <w:sz w:val="25"/>
                <w:szCs w:val="25"/>
                <w:lang w:val="en-US"/>
              </w:rPr>
              <w:t>D</w:t>
            </w:r>
          </w:p>
        </w:tc>
        <w:tc>
          <w:tcPr>
            <w:tcW w:w="846"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5,00</w:t>
            </w:r>
          </w:p>
        </w:tc>
        <w:tc>
          <w:tcPr>
            <w:tcW w:w="742" w:type="dxa"/>
          </w:tcPr>
          <w:p w:rsidR="001C6376" w:rsidRPr="001C6376" w:rsidRDefault="001C6376" w:rsidP="005D2833">
            <w:pPr>
              <w:jc w:val="center"/>
              <w:rPr>
                <w:rFonts w:ascii="Times New Roman" w:hAnsi="Times New Roman" w:cs="Times New Roman"/>
                <w:sz w:val="25"/>
                <w:szCs w:val="25"/>
              </w:rPr>
            </w:pPr>
            <w:r>
              <w:rPr>
                <w:rFonts w:ascii="Times New Roman" w:hAnsi="Times New Roman" w:cs="Times New Roman"/>
                <w:sz w:val="25"/>
                <w:szCs w:val="25"/>
              </w:rPr>
              <w:t>А</w:t>
            </w:r>
          </w:p>
        </w:tc>
        <w:tc>
          <w:tcPr>
            <w:tcW w:w="763" w:type="dxa"/>
          </w:tcPr>
          <w:p w:rsidR="001C6376" w:rsidRDefault="001C6376" w:rsidP="005D2833">
            <w:pPr>
              <w:jc w:val="both"/>
              <w:rPr>
                <w:rFonts w:ascii="Times New Roman" w:hAnsi="Times New Roman" w:cs="Times New Roman"/>
                <w:sz w:val="25"/>
                <w:szCs w:val="25"/>
              </w:rPr>
            </w:pPr>
            <w:r>
              <w:rPr>
                <w:rFonts w:ascii="Times New Roman" w:hAnsi="Times New Roman" w:cs="Times New Roman"/>
                <w:sz w:val="25"/>
                <w:szCs w:val="25"/>
              </w:rPr>
              <w:t>4,9</w:t>
            </w:r>
          </w:p>
          <w:p w:rsidR="00A10C30" w:rsidRPr="001C6376" w:rsidRDefault="00A10C30" w:rsidP="005D2833">
            <w:pPr>
              <w:jc w:val="both"/>
              <w:rPr>
                <w:rFonts w:ascii="Times New Roman" w:hAnsi="Times New Roman" w:cs="Times New Roman"/>
                <w:sz w:val="25"/>
                <w:szCs w:val="25"/>
              </w:rPr>
            </w:pPr>
            <w:r>
              <w:rPr>
                <w:rFonts w:ascii="Times New Roman" w:hAnsi="Times New Roman" w:cs="Times New Roman"/>
                <w:sz w:val="25"/>
                <w:szCs w:val="25"/>
              </w:rPr>
              <w:t>(+0,1)</w:t>
            </w:r>
          </w:p>
        </w:tc>
        <w:tc>
          <w:tcPr>
            <w:tcW w:w="742" w:type="dxa"/>
          </w:tcPr>
          <w:p w:rsidR="001C6376" w:rsidRPr="007814BE" w:rsidRDefault="001C6376" w:rsidP="005D2833">
            <w:pPr>
              <w:jc w:val="center"/>
              <w:rPr>
                <w:rFonts w:ascii="Times New Roman" w:hAnsi="Times New Roman" w:cs="Times New Roman"/>
                <w:sz w:val="25"/>
                <w:szCs w:val="25"/>
              </w:rPr>
            </w:pPr>
            <w:r w:rsidRPr="007814BE">
              <w:rPr>
                <w:rFonts w:ascii="Times New Roman" w:hAnsi="Times New Roman" w:cs="Times New Roman"/>
                <w:sz w:val="25"/>
                <w:szCs w:val="25"/>
              </w:rPr>
              <w:t>А</w:t>
            </w:r>
          </w:p>
        </w:tc>
      </w:tr>
      <w:tr w:rsidR="001C6376" w:rsidTr="005D2833">
        <w:tc>
          <w:tcPr>
            <w:tcW w:w="851" w:type="dxa"/>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rPr>
              <w:t>А3.2</w:t>
            </w:r>
          </w:p>
        </w:tc>
        <w:tc>
          <w:tcPr>
            <w:tcW w:w="2910" w:type="dxa"/>
            <w:gridSpan w:val="2"/>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rPr>
              <w:t>Среднее количество процедур при регистрации прав собственности</w:t>
            </w:r>
          </w:p>
        </w:tc>
        <w:tc>
          <w:tcPr>
            <w:tcW w:w="1579" w:type="dxa"/>
          </w:tcPr>
          <w:p w:rsidR="001C6376" w:rsidRPr="007814BE" w:rsidRDefault="001C6376" w:rsidP="005D2833">
            <w:pPr>
              <w:jc w:val="center"/>
              <w:rPr>
                <w:rFonts w:ascii="Times New Roman" w:hAnsi="Times New Roman" w:cs="Times New Roman"/>
                <w:sz w:val="25"/>
                <w:szCs w:val="25"/>
              </w:rPr>
            </w:pPr>
            <w:proofErr w:type="spellStart"/>
            <w:r w:rsidRPr="007814BE">
              <w:rPr>
                <w:rFonts w:ascii="Times New Roman" w:hAnsi="Times New Roman" w:cs="Times New Roman"/>
                <w:sz w:val="25"/>
                <w:szCs w:val="25"/>
              </w:rPr>
              <w:t>шт</w:t>
            </w:r>
            <w:proofErr w:type="spellEnd"/>
          </w:p>
        </w:tc>
        <w:tc>
          <w:tcPr>
            <w:tcW w:w="846"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4,25</w:t>
            </w:r>
          </w:p>
        </w:tc>
        <w:tc>
          <w:tcPr>
            <w:tcW w:w="751" w:type="dxa"/>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lang w:val="en-US"/>
              </w:rPr>
              <w:t>D</w:t>
            </w:r>
          </w:p>
        </w:tc>
        <w:tc>
          <w:tcPr>
            <w:tcW w:w="846"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2,00</w:t>
            </w:r>
          </w:p>
        </w:tc>
        <w:tc>
          <w:tcPr>
            <w:tcW w:w="742" w:type="dxa"/>
          </w:tcPr>
          <w:p w:rsidR="001C6376" w:rsidRPr="007814BE" w:rsidRDefault="001C6376" w:rsidP="005D2833">
            <w:pPr>
              <w:jc w:val="center"/>
              <w:rPr>
                <w:rFonts w:ascii="Times New Roman" w:hAnsi="Times New Roman" w:cs="Times New Roman"/>
                <w:sz w:val="25"/>
                <w:szCs w:val="25"/>
              </w:rPr>
            </w:pPr>
            <w:r>
              <w:rPr>
                <w:rFonts w:ascii="Times New Roman" w:hAnsi="Times New Roman" w:cs="Times New Roman"/>
                <w:sz w:val="25"/>
                <w:szCs w:val="25"/>
              </w:rPr>
              <w:t>А</w:t>
            </w:r>
          </w:p>
        </w:tc>
        <w:tc>
          <w:tcPr>
            <w:tcW w:w="763" w:type="dxa"/>
          </w:tcPr>
          <w:p w:rsidR="00371AB2" w:rsidRDefault="001C6376" w:rsidP="005D2833">
            <w:pPr>
              <w:jc w:val="both"/>
              <w:rPr>
                <w:rFonts w:ascii="Times New Roman" w:hAnsi="Times New Roman" w:cs="Times New Roman"/>
                <w:sz w:val="25"/>
                <w:szCs w:val="25"/>
              </w:rPr>
            </w:pPr>
            <w:r>
              <w:rPr>
                <w:rFonts w:ascii="Times New Roman" w:hAnsi="Times New Roman" w:cs="Times New Roman"/>
                <w:sz w:val="25"/>
                <w:szCs w:val="25"/>
              </w:rPr>
              <w:t>2,33</w:t>
            </w:r>
          </w:p>
          <w:p w:rsidR="001C6376" w:rsidRPr="007814BE" w:rsidRDefault="00371AB2" w:rsidP="005D2833">
            <w:pPr>
              <w:jc w:val="both"/>
              <w:rPr>
                <w:rFonts w:ascii="Times New Roman" w:hAnsi="Times New Roman" w:cs="Times New Roman"/>
                <w:sz w:val="25"/>
                <w:szCs w:val="25"/>
              </w:rPr>
            </w:pPr>
            <w:r>
              <w:rPr>
                <w:rFonts w:ascii="Times New Roman" w:hAnsi="Times New Roman" w:cs="Times New Roman"/>
                <w:sz w:val="25"/>
                <w:szCs w:val="25"/>
              </w:rPr>
              <w:t>(-0,33)</w:t>
            </w:r>
          </w:p>
        </w:tc>
        <w:tc>
          <w:tcPr>
            <w:tcW w:w="742" w:type="dxa"/>
          </w:tcPr>
          <w:p w:rsidR="001C6376" w:rsidRPr="007814BE" w:rsidRDefault="001C6376" w:rsidP="005D2833">
            <w:pPr>
              <w:jc w:val="center"/>
              <w:rPr>
                <w:rFonts w:ascii="Times New Roman" w:hAnsi="Times New Roman" w:cs="Times New Roman"/>
                <w:sz w:val="25"/>
                <w:szCs w:val="25"/>
              </w:rPr>
            </w:pPr>
            <w:r>
              <w:rPr>
                <w:rFonts w:ascii="Times New Roman" w:hAnsi="Times New Roman" w:cs="Times New Roman"/>
                <w:sz w:val="25"/>
                <w:szCs w:val="25"/>
              </w:rPr>
              <w:t>С</w:t>
            </w:r>
          </w:p>
        </w:tc>
      </w:tr>
      <w:tr w:rsidR="001C6376" w:rsidTr="005D2833">
        <w:tc>
          <w:tcPr>
            <w:tcW w:w="851" w:type="dxa"/>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rPr>
              <w:t>А3.3</w:t>
            </w:r>
          </w:p>
        </w:tc>
        <w:tc>
          <w:tcPr>
            <w:tcW w:w="2910" w:type="dxa"/>
            <w:gridSpan w:val="2"/>
          </w:tcPr>
          <w:p w:rsidR="001C6376" w:rsidRPr="007814BE" w:rsidRDefault="001C6376" w:rsidP="005D2833">
            <w:pPr>
              <w:jc w:val="both"/>
              <w:rPr>
                <w:rFonts w:ascii="Times New Roman" w:hAnsi="Times New Roman" w:cs="Times New Roman"/>
                <w:sz w:val="25"/>
                <w:szCs w:val="25"/>
              </w:rPr>
            </w:pPr>
            <w:r w:rsidRPr="007814BE">
              <w:rPr>
                <w:rFonts w:ascii="Times New Roman" w:hAnsi="Times New Roman" w:cs="Times New Roman"/>
                <w:sz w:val="25"/>
                <w:szCs w:val="25"/>
              </w:rPr>
              <w:t>Оценка деятельности органов власти по регистрации прав на недвижимое имущество и сделок с ним</w:t>
            </w:r>
          </w:p>
        </w:tc>
        <w:tc>
          <w:tcPr>
            <w:tcW w:w="1579" w:type="dxa"/>
          </w:tcPr>
          <w:p w:rsidR="001C6376" w:rsidRPr="007814BE" w:rsidRDefault="001C6376" w:rsidP="005D2833">
            <w:pPr>
              <w:jc w:val="center"/>
              <w:rPr>
                <w:rFonts w:ascii="Times New Roman" w:hAnsi="Times New Roman" w:cs="Times New Roman"/>
                <w:sz w:val="25"/>
                <w:szCs w:val="25"/>
              </w:rPr>
            </w:pPr>
            <w:r w:rsidRPr="007814BE">
              <w:rPr>
                <w:rFonts w:ascii="Times New Roman" w:hAnsi="Times New Roman" w:cs="Times New Roman"/>
                <w:sz w:val="25"/>
                <w:szCs w:val="25"/>
              </w:rPr>
              <w:t>Сред балл</w:t>
            </w:r>
          </w:p>
        </w:tc>
        <w:tc>
          <w:tcPr>
            <w:tcW w:w="846" w:type="dxa"/>
          </w:tcPr>
          <w:p w:rsidR="001C6376" w:rsidRPr="007814BE" w:rsidRDefault="004C422B" w:rsidP="005D2833">
            <w:pPr>
              <w:jc w:val="both"/>
              <w:rPr>
                <w:rFonts w:ascii="Times New Roman" w:hAnsi="Times New Roman" w:cs="Times New Roman"/>
                <w:sz w:val="25"/>
                <w:szCs w:val="25"/>
              </w:rPr>
            </w:pPr>
            <w:r>
              <w:rPr>
                <w:rFonts w:ascii="Times New Roman" w:hAnsi="Times New Roman" w:cs="Times New Roman"/>
                <w:sz w:val="25"/>
                <w:szCs w:val="25"/>
              </w:rPr>
              <w:t>3,34</w:t>
            </w:r>
          </w:p>
        </w:tc>
        <w:tc>
          <w:tcPr>
            <w:tcW w:w="751" w:type="dxa"/>
          </w:tcPr>
          <w:p w:rsidR="001C6376" w:rsidRPr="007814BE" w:rsidRDefault="004C422B" w:rsidP="005D2833">
            <w:pPr>
              <w:jc w:val="both"/>
              <w:rPr>
                <w:rFonts w:ascii="Times New Roman" w:hAnsi="Times New Roman" w:cs="Times New Roman"/>
                <w:sz w:val="25"/>
                <w:szCs w:val="25"/>
              </w:rPr>
            </w:pPr>
            <w:r>
              <w:rPr>
                <w:rFonts w:ascii="Times New Roman" w:hAnsi="Times New Roman" w:cs="Times New Roman"/>
                <w:sz w:val="25"/>
                <w:szCs w:val="25"/>
              </w:rPr>
              <w:t>Е</w:t>
            </w:r>
          </w:p>
        </w:tc>
        <w:tc>
          <w:tcPr>
            <w:tcW w:w="846" w:type="dxa"/>
          </w:tcPr>
          <w:p w:rsidR="001C6376" w:rsidRPr="007814BE" w:rsidRDefault="004C422B" w:rsidP="005D2833">
            <w:pPr>
              <w:jc w:val="both"/>
              <w:rPr>
                <w:rFonts w:ascii="Times New Roman" w:hAnsi="Times New Roman" w:cs="Times New Roman"/>
                <w:sz w:val="25"/>
                <w:szCs w:val="25"/>
              </w:rPr>
            </w:pPr>
            <w:r>
              <w:rPr>
                <w:rFonts w:ascii="Times New Roman" w:hAnsi="Times New Roman" w:cs="Times New Roman"/>
                <w:sz w:val="25"/>
                <w:szCs w:val="25"/>
              </w:rPr>
              <w:t>4,7</w:t>
            </w:r>
          </w:p>
        </w:tc>
        <w:tc>
          <w:tcPr>
            <w:tcW w:w="742" w:type="dxa"/>
          </w:tcPr>
          <w:p w:rsidR="001C6376" w:rsidRPr="004C422B" w:rsidRDefault="004C422B" w:rsidP="005D2833">
            <w:pPr>
              <w:jc w:val="center"/>
              <w:rPr>
                <w:rFonts w:ascii="Times New Roman" w:hAnsi="Times New Roman" w:cs="Times New Roman"/>
                <w:sz w:val="25"/>
                <w:szCs w:val="25"/>
              </w:rPr>
            </w:pPr>
            <w:r>
              <w:rPr>
                <w:rFonts w:ascii="Times New Roman" w:hAnsi="Times New Roman" w:cs="Times New Roman"/>
                <w:sz w:val="25"/>
                <w:szCs w:val="25"/>
              </w:rPr>
              <w:t>В</w:t>
            </w:r>
          </w:p>
        </w:tc>
        <w:tc>
          <w:tcPr>
            <w:tcW w:w="763" w:type="dxa"/>
          </w:tcPr>
          <w:p w:rsidR="001C6376" w:rsidRDefault="004C422B" w:rsidP="005D2833">
            <w:pPr>
              <w:jc w:val="both"/>
              <w:rPr>
                <w:rFonts w:ascii="Times New Roman" w:hAnsi="Times New Roman" w:cs="Times New Roman"/>
                <w:sz w:val="25"/>
                <w:szCs w:val="25"/>
              </w:rPr>
            </w:pPr>
            <w:r>
              <w:rPr>
                <w:rFonts w:ascii="Times New Roman" w:hAnsi="Times New Roman" w:cs="Times New Roman"/>
                <w:sz w:val="25"/>
                <w:szCs w:val="25"/>
              </w:rPr>
              <w:t>4,76</w:t>
            </w:r>
          </w:p>
          <w:p w:rsidR="00A10C30"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(+0,06)</w:t>
            </w:r>
          </w:p>
        </w:tc>
        <w:tc>
          <w:tcPr>
            <w:tcW w:w="742" w:type="dxa"/>
          </w:tcPr>
          <w:p w:rsidR="001C6376" w:rsidRPr="007814BE" w:rsidRDefault="001C6376" w:rsidP="005D2833">
            <w:pPr>
              <w:jc w:val="center"/>
              <w:rPr>
                <w:rFonts w:ascii="Times New Roman" w:hAnsi="Times New Roman" w:cs="Times New Roman"/>
                <w:sz w:val="25"/>
                <w:szCs w:val="25"/>
              </w:rPr>
            </w:pPr>
            <w:r w:rsidRPr="007814BE">
              <w:rPr>
                <w:rFonts w:ascii="Times New Roman" w:hAnsi="Times New Roman" w:cs="Times New Roman"/>
                <w:sz w:val="25"/>
                <w:szCs w:val="25"/>
              </w:rPr>
              <w:t>В</w:t>
            </w:r>
          </w:p>
        </w:tc>
      </w:tr>
    </w:tbl>
    <w:p w:rsidR="001C6376" w:rsidRPr="00F357C0" w:rsidRDefault="001C6376" w:rsidP="001C6376">
      <w:pPr>
        <w:shd w:val="clear" w:color="auto" w:fill="FFFFFF"/>
        <w:spacing w:after="0" w:line="240" w:lineRule="auto"/>
        <w:ind w:firstLine="708"/>
        <w:jc w:val="both"/>
        <w:rPr>
          <w:rFonts w:ascii="Times New Roman" w:hAnsi="Times New Roman" w:cs="Times New Roman"/>
          <w:sz w:val="28"/>
          <w:szCs w:val="28"/>
        </w:rPr>
      </w:pPr>
    </w:p>
    <w:p w:rsidR="001C6376" w:rsidRPr="00F357C0" w:rsidRDefault="001C6376"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357C0">
        <w:rPr>
          <w:rFonts w:ascii="Times New Roman" w:eastAsia="Times New Roman" w:hAnsi="Times New Roman" w:cs="Times New Roman"/>
          <w:color w:val="000000"/>
          <w:sz w:val="28"/>
          <w:szCs w:val="28"/>
          <w:lang w:eastAsia="ru-RU"/>
        </w:rPr>
        <w:t>По направлению В2 «Эффективность процедур постановки земельного участка на кадастровый учет и качество территориального планирования»:</w:t>
      </w:r>
    </w:p>
    <w:p w:rsidR="001C6376" w:rsidRPr="00F357C0" w:rsidRDefault="001C6376"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357C0">
        <w:rPr>
          <w:rFonts w:ascii="Times New Roman" w:eastAsia="Times New Roman" w:hAnsi="Times New Roman" w:cs="Times New Roman"/>
          <w:color w:val="000000"/>
          <w:sz w:val="28"/>
          <w:szCs w:val="28"/>
          <w:lang w:eastAsia="ru-RU"/>
        </w:rPr>
        <w:sym w:font="Symbol" w:char="F02D"/>
      </w:r>
      <w:r w:rsidRPr="00F357C0">
        <w:rPr>
          <w:rFonts w:ascii="Times New Roman" w:eastAsia="Times New Roman" w:hAnsi="Times New Roman" w:cs="Times New Roman"/>
          <w:color w:val="000000"/>
          <w:sz w:val="28"/>
          <w:szCs w:val="28"/>
          <w:lang w:eastAsia="ru-RU"/>
        </w:rPr>
        <w:t xml:space="preserve"> Показатель «В</w:t>
      </w:r>
      <w:proofErr w:type="gramStart"/>
      <w:r w:rsidRPr="00F357C0">
        <w:rPr>
          <w:rFonts w:ascii="Times New Roman" w:eastAsia="Times New Roman" w:hAnsi="Times New Roman" w:cs="Times New Roman"/>
          <w:color w:val="000000"/>
          <w:sz w:val="28"/>
          <w:szCs w:val="28"/>
          <w:lang w:eastAsia="ru-RU"/>
        </w:rPr>
        <w:t>2</w:t>
      </w:r>
      <w:proofErr w:type="gramEnd"/>
      <w:r w:rsidRPr="00F357C0">
        <w:rPr>
          <w:rFonts w:ascii="Times New Roman" w:eastAsia="Times New Roman" w:hAnsi="Times New Roman" w:cs="Times New Roman"/>
          <w:color w:val="000000"/>
          <w:sz w:val="28"/>
          <w:szCs w:val="28"/>
          <w:lang w:eastAsia="ru-RU"/>
        </w:rPr>
        <w:t xml:space="preserve">.1 Оценка деятельности органов власти по постановке на кадастровый учет» - </w:t>
      </w:r>
      <w:r w:rsidR="00A10C30">
        <w:rPr>
          <w:rFonts w:ascii="Times New Roman" w:eastAsia="Times New Roman" w:hAnsi="Times New Roman" w:cs="Times New Roman"/>
          <w:color w:val="000000"/>
          <w:sz w:val="28"/>
          <w:szCs w:val="28"/>
          <w:lang w:eastAsia="ru-RU"/>
        </w:rPr>
        <w:t>положительная</w:t>
      </w:r>
      <w:r w:rsidRPr="00F357C0">
        <w:rPr>
          <w:rFonts w:ascii="Times New Roman" w:eastAsia="Times New Roman" w:hAnsi="Times New Roman" w:cs="Times New Roman"/>
          <w:color w:val="000000"/>
          <w:sz w:val="28"/>
          <w:szCs w:val="28"/>
          <w:lang w:eastAsia="ru-RU"/>
        </w:rPr>
        <w:t xml:space="preserve"> динамика, группа </w:t>
      </w:r>
      <w:r w:rsidRPr="00F357C0">
        <w:rPr>
          <w:rFonts w:ascii="Times New Roman" w:eastAsia="Times New Roman" w:hAnsi="Times New Roman" w:cs="Times New Roman"/>
          <w:b/>
          <w:color w:val="000000"/>
          <w:sz w:val="28"/>
          <w:szCs w:val="28"/>
          <w:lang w:eastAsia="ru-RU"/>
        </w:rPr>
        <w:t>D</w:t>
      </w:r>
      <w:r w:rsidRPr="00F357C0">
        <w:rPr>
          <w:rFonts w:ascii="Times New Roman" w:eastAsia="Times New Roman" w:hAnsi="Times New Roman" w:cs="Times New Roman"/>
          <w:color w:val="000000"/>
          <w:sz w:val="28"/>
          <w:szCs w:val="28"/>
          <w:lang w:eastAsia="ru-RU"/>
        </w:rPr>
        <w:t xml:space="preserve"> в 2021 году, группа </w:t>
      </w:r>
      <w:r w:rsidRPr="00F357C0">
        <w:rPr>
          <w:rFonts w:ascii="Times New Roman" w:eastAsia="Times New Roman" w:hAnsi="Times New Roman" w:cs="Times New Roman"/>
          <w:b/>
          <w:color w:val="000000"/>
          <w:sz w:val="28"/>
          <w:szCs w:val="28"/>
          <w:lang w:eastAsia="ru-RU"/>
        </w:rPr>
        <w:t>C</w:t>
      </w:r>
      <w:r w:rsidRPr="00F357C0">
        <w:rPr>
          <w:rFonts w:ascii="Times New Roman" w:eastAsia="Times New Roman" w:hAnsi="Times New Roman" w:cs="Times New Roman"/>
          <w:color w:val="000000"/>
          <w:sz w:val="28"/>
          <w:szCs w:val="28"/>
          <w:lang w:eastAsia="ru-RU"/>
        </w:rPr>
        <w:t xml:space="preserve"> в 2022 году (средний балл увеличился с 4,08  до 4,32).</w:t>
      </w:r>
    </w:p>
    <w:p w:rsidR="001C6376" w:rsidRPr="00F357C0" w:rsidRDefault="001C6376"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357C0">
        <w:rPr>
          <w:rFonts w:ascii="Times New Roman" w:eastAsia="Times New Roman" w:hAnsi="Times New Roman" w:cs="Times New Roman"/>
          <w:color w:val="000000"/>
          <w:sz w:val="28"/>
          <w:szCs w:val="28"/>
          <w:lang w:eastAsia="ru-RU"/>
        </w:rPr>
        <w:sym w:font="Symbol" w:char="F02D"/>
      </w:r>
      <w:r w:rsidRPr="00F357C0">
        <w:rPr>
          <w:rFonts w:ascii="Times New Roman" w:eastAsia="Times New Roman" w:hAnsi="Times New Roman" w:cs="Times New Roman"/>
          <w:color w:val="000000"/>
          <w:sz w:val="28"/>
          <w:szCs w:val="28"/>
          <w:lang w:eastAsia="ru-RU"/>
        </w:rPr>
        <w:t xml:space="preserve"> Показатель «В2.2 Время постановки на кадастровый учет» - положительная динамика, группа </w:t>
      </w:r>
      <w:r w:rsidRPr="00F357C0">
        <w:rPr>
          <w:rFonts w:ascii="Times New Roman" w:eastAsia="Times New Roman" w:hAnsi="Times New Roman" w:cs="Times New Roman"/>
          <w:b/>
          <w:color w:val="000000"/>
          <w:sz w:val="28"/>
          <w:szCs w:val="28"/>
          <w:lang w:eastAsia="ru-RU"/>
        </w:rPr>
        <w:t>D</w:t>
      </w:r>
      <w:r w:rsidRPr="00F357C0">
        <w:rPr>
          <w:rFonts w:ascii="Times New Roman" w:eastAsia="Times New Roman" w:hAnsi="Times New Roman" w:cs="Times New Roman"/>
          <w:color w:val="000000"/>
          <w:sz w:val="28"/>
          <w:szCs w:val="28"/>
          <w:lang w:eastAsia="ru-RU"/>
        </w:rPr>
        <w:t xml:space="preserve"> в 2021, группа </w:t>
      </w:r>
      <w:proofErr w:type="spellStart"/>
      <w:proofErr w:type="gramStart"/>
      <w:r w:rsidRPr="00F357C0">
        <w:rPr>
          <w:rFonts w:ascii="Times New Roman" w:eastAsia="Times New Roman" w:hAnsi="Times New Roman" w:cs="Times New Roman"/>
          <w:b/>
          <w:color w:val="000000"/>
          <w:sz w:val="28"/>
          <w:szCs w:val="28"/>
          <w:lang w:eastAsia="ru-RU"/>
        </w:rPr>
        <w:t>В</w:t>
      </w:r>
      <w:r w:rsidRPr="00F357C0">
        <w:rPr>
          <w:rFonts w:ascii="Times New Roman" w:eastAsia="Times New Roman" w:hAnsi="Times New Roman" w:cs="Times New Roman"/>
          <w:color w:val="000000"/>
          <w:sz w:val="28"/>
          <w:szCs w:val="28"/>
          <w:lang w:eastAsia="ru-RU"/>
        </w:rPr>
        <w:t>в</w:t>
      </w:r>
      <w:proofErr w:type="spellEnd"/>
      <w:proofErr w:type="gramEnd"/>
      <w:r w:rsidRPr="00F357C0">
        <w:rPr>
          <w:rFonts w:ascii="Times New Roman" w:eastAsia="Times New Roman" w:hAnsi="Times New Roman" w:cs="Times New Roman"/>
          <w:color w:val="000000"/>
          <w:sz w:val="28"/>
          <w:szCs w:val="28"/>
          <w:lang w:eastAsia="ru-RU"/>
        </w:rPr>
        <w:t xml:space="preserve"> 2022 году (количество рабочих дней снизилось с 36,80 до 30.50).</w:t>
      </w:r>
    </w:p>
    <w:p w:rsidR="001C6376" w:rsidRPr="00363447" w:rsidRDefault="001C6376" w:rsidP="001C6376">
      <w:pPr>
        <w:shd w:val="clear" w:color="auto" w:fill="FFFFFF"/>
        <w:spacing w:after="0" w:line="240" w:lineRule="auto"/>
        <w:ind w:firstLine="708"/>
        <w:jc w:val="center"/>
        <w:rPr>
          <w:rFonts w:ascii="Times New Roman" w:hAnsi="Times New Roman" w:cs="Times New Roman"/>
          <w:b/>
          <w:sz w:val="28"/>
          <w:szCs w:val="28"/>
        </w:rPr>
      </w:pPr>
      <w:r w:rsidRPr="00363447">
        <w:rPr>
          <w:rFonts w:ascii="Times New Roman" w:hAnsi="Times New Roman" w:cs="Times New Roman"/>
          <w:b/>
          <w:sz w:val="28"/>
          <w:szCs w:val="28"/>
        </w:rPr>
        <w:lastRenderedPageBreak/>
        <w:t>Динамика показателей фактора В2:</w:t>
      </w:r>
    </w:p>
    <w:p w:rsidR="001C6376" w:rsidRDefault="001C6376" w:rsidP="001C6376">
      <w:pPr>
        <w:shd w:val="clear" w:color="auto" w:fill="FFFFFF"/>
        <w:spacing w:after="0" w:line="240" w:lineRule="auto"/>
        <w:ind w:firstLine="708"/>
        <w:jc w:val="both"/>
        <w:rPr>
          <w:rFonts w:ascii="Times New Roman" w:hAnsi="Times New Roman" w:cs="Times New Roman"/>
          <w:sz w:val="28"/>
          <w:szCs w:val="28"/>
        </w:rPr>
      </w:pPr>
    </w:p>
    <w:tbl>
      <w:tblPr>
        <w:tblStyle w:val="a3"/>
        <w:tblW w:w="0" w:type="auto"/>
        <w:tblInd w:w="-459" w:type="dxa"/>
        <w:tblLook w:val="04A0"/>
      </w:tblPr>
      <w:tblGrid>
        <w:gridCol w:w="840"/>
        <w:gridCol w:w="2826"/>
        <w:gridCol w:w="1571"/>
        <w:gridCol w:w="834"/>
        <w:gridCol w:w="727"/>
        <w:gridCol w:w="833"/>
        <w:gridCol w:w="719"/>
        <w:gridCol w:w="961"/>
        <w:gridCol w:w="719"/>
      </w:tblGrid>
      <w:tr w:rsidR="001C6376" w:rsidTr="005D2833">
        <w:tc>
          <w:tcPr>
            <w:tcW w:w="850" w:type="dxa"/>
          </w:tcPr>
          <w:p w:rsidR="001C6376" w:rsidRDefault="001C6376" w:rsidP="005D2833">
            <w:pPr>
              <w:jc w:val="both"/>
              <w:rPr>
                <w:rFonts w:ascii="Times New Roman" w:hAnsi="Times New Roman" w:cs="Times New Roman"/>
                <w:sz w:val="28"/>
                <w:szCs w:val="28"/>
              </w:rPr>
            </w:pPr>
            <w:r>
              <w:rPr>
                <w:rFonts w:ascii="Times New Roman" w:hAnsi="Times New Roman" w:cs="Times New Roman"/>
                <w:sz w:val="28"/>
                <w:szCs w:val="28"/>
              </w:rPr>
              <w:t>№</w:t>
            </w:r>
          </w:p>
        </w:tc>
        <w:tc>
          <w:tcPr>
            <w:tcW w:w="2903" w:type="dxa"/>
            <w:vMerge w:val="restart"/>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Республика Тыва</w:t>
            </w:r>
          </w:p>
        </w:tc>
        <w:tc>
          <w:tcPr>
            <w:tcW w:w="1578" w:type="dxa"/>
            <w:vMerge w:val="restart"/>
          </w:tcPr>
          <w:p w:rsidR="001C6376" w:rsidRDefault="001C6376" w:rsidP="005D2833">
            <w:pPr>
              <w:jc w:val="both"/>
              <w:rPr>
                <w:rFonts w:ascii="Times New Roman" w:hAnsi="Times New Roman" w:cs="Times New Roman"/>
                <w:sz w:val="28"/>
                <w:szCs w:val="28"/>
              </w:rPr>
            </w:pPr>
            <w:r>
              <w:rPr>
                <w:rFonts w:ascii="Times New Roman" w:hAnsi="Times New Roman" w:cs="Times New Roman"/>
                <w:sz w:val="28"/>
                <w:szCs w:val="28"/>
              </w:rPr>
              <w:t>Единицы измерения</w:t>
            </w:r>
          </w:p>
        </w:tc>
        <w:tc>
          <w:tcPr>
            <w:tcW w:w="4699" w:type="dxa"/>
            <w:gridSpan w:val="6"/>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Значение</w:t>
            </w:r>
          </w:p>
        </w:tc>
      </w:tr>
      <w:tr w:rsidR="00343744" w:rsidTr="005D2833">
        <w:tc>
          <w:tcPr>
            <w:tcW w:w="850" w:type="dxa"/>
          </w:tcPr>
          <w:p w:rsidR="001C6376" w:rsidRDefault="001C6376" w:rsidP="005D2833">
            <w:pPr>
              <w:jc w:val="both"/>
              <w:rPr>
                <w:rFonts w:ascii="Times New Roman" w:hAnsi="Times New Roman" w:cs="Times New Roman"/>
                <w:sz w:val="28"/>
                <w:szCs w:val="28"/>
              </w:rPr>
            </w:pPr>
          </w:p>
        </w:tc>
        <w:tc>
          <w:tcPr>
            <w:tcW w:w="2903" w:type="dxa"/>
            <w:vMerge/>
          </w:tcPr>
          <w:p w:rsidR="001C6376" w:rsidRDefault="001C6376" w:rsidP="005D2833">
            <w:pPr>
              <w:jc w:val="both"/>
              <w:rPr>
                <w:rFonts w:ascii="Times New Roman" w:hAnsi="Times New Roman" w:cs="Times New Roman"/>
                <w:sz w:val="28"/>
                <w:szCs w:val="28"/>
              </w:rPr>
            </w:pPr>
          </w:p>
        </w:tc>
        <w:tc>
          <w:tcPr>
            <w:tcW w:w="1578" w:type="dxa"/>
            <w:vMerge/>
          </w:tcPr>
          <w:p w:rsidR="001C6376" w:rsidRDefault="001C6376" w:rsidP="005D2833">
            <w:pPr>
              <w:jc w:val="both"/>
              <w:rPr>
                <w:rFonts w:ascii="Times New Roman" w:hAnsi="Times New Roman" w:cs="Times New Roman"/>
                <w:sz w:val="28"/>
                <w:szCs w:val="28"/>
              </w:rPr>
            </w:pPr>
          </w:p>
        </w:tc>
        <w:tc>
          <w:tcPr>
            <w:tcW w:w="1595" w:type="dxa"/>
            <w:gridSpan w:val="2"/>
          </w:tcPr>
          <w:p w:rsidR="001C6376" w:rsidRDefault="00A10C30" w:rsidP="005D2833">
            <w:pPr>
              <w:jc w:val="center"/>
              <w:rPr>
                <w:rFonts w:ascii="Times New Roman" w:hAnsi="Times New Roman" w:cs="Times New Roman"/>
                <w:sz w:val="28"/>
                <w:szCs w:val="28"/>
              </w:rPr>
            </w:pPr>
            <w:r>
              <w:rPr>
                <w:rFonts w:ascii="Times New Roman" w:hAnsi="Times New Roman" w:cs="Times New Roman"/>
                <w:sz w:val="28"/>
                <w:szCs w:val="28"/>
              </w:rPr>
              <w:t>2021</w:t>
            </w:r>
          </w:p>
        </w:tc>
        <w:tc>
          <w:tcPr>
            <w:tcW w:w="1585" w:type="dxa"/>
            <w:gridSpan w:val="2"/>
          </w:tcPr>
          <w:p w:rsidR="001C6376" w:rsidRDefault="00A10C30" w:rsidP="005D2833">
            <w:pPr>
              <w:jc w:val="center"/>
              <w:rPr>
                <w:rFonts w:ascii="Times New Roman" w:hAnsi="Times New Roman" w:cs="Times New Roman"/>
                <w:sz w:val="28"/>
                <w:szCs w:val="28"/>
              </w:rPr>
            </w:pPr>
            <w:r>
              <w:rPr>
                <w:rFonts w:ascii="Times New Roman" w:hAnsi="Times New Roman" w:cs="Times New Roman"/>
                <w:sz w:val="28"/>
                <w:szCs w:val="28"/>
              </w:rPr>
              <w:t>2022</w:t>
            </w:r>
          </w:p>
        </w:tc>
        <w:tc>
          <w:tcPr>
            <w:tcW w:w="1519" w:type="dxa"/>
            <w:gridSpan w:val="2"/>
          </w:tcPr>
          <w:p w:rsidR="001C6376" w:rsidRDefault="00A10C30" w:rsidP="005D2833">
            <w:pPr>
              <w:jc w:val="center"/>
              <w:rPr>
                <w:rFonts w:ascii="Times New Roman" w:hAnsi="Times New Roman" w:cs="Times New Roman"/>
                <w:sz w:val="28"/>
                <w:szCs w:val="28"/>
              </w:rPr>
            </w:pPr>
            <w:r>
              <w:rPr>
                <w:rFonts w:ascii="Times New Roman" w:hAnsi="Times New Roman" w:cs="Times New Roman"/>
                <w:sz w:val="28"/>
                <w:szCs w:val="28"/>
              </w:rPr>
              <w:t>2023</w:t>
            </w:r>
          </w:p>
        </w:tc>
      </w:tr>
      <w:tr w:rsidR="001C6376" w:rsidTr="005D2833">
        <w:tc>
          <w:tcPr>
            <w:tcW w:w="10030" w:type="dxa"/>
            <w:gridSpan w:val="9"/>
          </w:tcPr>
          <w:p w:rsidR="001C6376" w:rsidRDefault="001C6376" w:rsidP="005D2833">
            <w:pPr>
              <w:jc w:val="center"/>
              <w:rPr>
                <w:rFonts w:ascii="Times New Roman" w:hAnsi="Times New Roman" w:cs="Times New Roman"/>
                <w:sz w:val="28"/>
                <w:szCs w:val="28"/>
              </w:rPr>
            </w:pPr>
            <w:r>
              <w:rPr>
                <w:rFonts w:ascii="Times New Roman" w:hAnsi="Times New Roman" w:cs="Times New Roman"/>
                <w:sz w:val="28"/>
                <w:szCs w:val="28"/>
              </w:rPr>
              <w:t>В 2.</w:t>
            </w:r>
            <w:r w:rsidRPr="00F357C0">
              <w:rPr>
                <w:rFonts w:ascii="Times New Roman" w:hAnsi="Times New Roman" w:cs="Times New Roman"/>
                <w:sz w:val="28"/>
                <w:szCs w:val="28"/>
              </w:rPr>
              <w:t>Эффективность процедур постановки земельного участка на кадастровый учет и качество территориального планирования</w:t>
            </w:r>
          </w:p>
        </w:tc>
      </w:tr>
      <w:tr w:rsidR="00A10C30" w:rsidTr="005D2833">
        <w:tc>
          <w:tcPr>
            <w:tcW w:w="850"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В2</w:t>
            </w:r>
            <w:r w:rsidRPr="007814BE">
              <w:rPr>
                <w:rFonts w:ascii="Times New Roman" w:hAnsi="Times New Roman" w:cs="Times New Roman"/>
                <w:sz w:val="25"/>
                <w:szCs w:val="25"/>
              </w:rPr>
              <w:t>.1</w:t>
            </w:r>
          </w:p>
        </w:tc>
        <w:tc>
          <w:tcPr>
            <w:tcW w:w="2903" w:type="dxa"/>
          </w:tcPr>
          <w:p w:rsidR="001C6376" w:rsidRPr="007814BE" w:rsidRDefault="001C6376" w:rsidP="005D2833">
            <w:pPr>
              <w:jc w:val="both"/>
              <w:rPr>
                <w:rFonts w:ascii="Times New Roman" w:hAnsi="Times New Roman" w:cs="Times New Roman"/>
                <w:sz w:val="25"/>
                <w:szCs w:val="25"/>
              </w:rPr>
            </w:pPr>
            <w:r w:rsidRPr="00363447">
              <w:rPr>
                <w:rFonts w:ascii="Times New Roman" w:hAnsi="Times New Roman" w:cs="Times New Roman"/>
                <w:sz w:val="25"/>
                <w:szCs w:val="25"/>
              </w:rPr>
              <w:t>Оценка деятельности органов власти по постановке на кадастровый учет</w:t>
            </w:r>
          </w:p>
        </w:tc>
        <w:tc>
          <w:tcPr>
            <w:tcW w:w="1578" w:type="dxa"/>
          </w:tcPr>
          <w:p w:rsidR="001C6376" w:rsidRPr="007814BE" w:rsidRDefault="001C6376" w:rsidP="005D2833">
            <w:pPr>
              <w:jc w:val="center"/>
              <w:rPr>
                <w:rFonts w:ascii="Times New Roman" w:hAnsi="Times New Roman" w:cs="Times New Roman"/>
                <w:sz w:val="25"/>
                <w:szCs w:val="25"/>
              </w:rPr>
            </w:pPr>
            <w:r>
              <w:rPr>
                <w:rFonts w:ascii="Times New Roman" w:hAnsi="Times New Roman" w:cs="Times New Roman"/>
                <w:sz w:val="25"/>
                <w:szCs w:val="25"/>
              </w:rPr>
              <w:t>Средний балл</w:t>
            </w:r>
          </w:p>
        </w:tc>
        <w:tc>
          <w:tcPr>
            <w:tcW w:w="846"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4,08</w:t>
            </w:r>
          </w:p>
        </w:tc>
        <w:tc>
          <w:tcPr>
            <w:tcW w:w="749" w:type="dxa"/>
          </w:tcPr>
          <w:p w:rsidR="001C6376" w:rsidRPr="007814BE" w:rsidRDefault="00A10C30" w:rsidP="005D2833">
            <w:pPr>
              <w:jc w:val="center"/>
              <w:rPr>
                <w:rFonts w:ascii="Times New Roman" w:hAnsi="Times New Roman" w:cs="Times New Roman"/>
                <w:sz w:val="25"/>
                <w:szCs w:val="25"/>
                <w:lang w:val="en-US"/>
              </w:rPr>
            </w:pPr>
            <w:r w:rsidRPr="007814BE">
              <w:rPr>
                <w:rFonts w:ascii="Times New Roman" w:hAnsi="Times New Roman" w:cs="Times New Roman"/>
                <w:sz w:val="25"/>
                <w:szCs w:val="25"/>
                <w:lang w:val="en-US"/>
              </w:rPr>
              <w:t>D</w:t>
            </w:r>
          </w:p>
        </w:tc>
        <w:tc>
          <w:tcPr>
            <w:tcW w:w="845"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4,32</w:t>
            </w:r>
          </w:p>
        </w:tc>
        <w:tc>
          <w:tcPr>
            <w:tcW w:w="740" w:type="dxa"/>
          </w:tcPr>
          <w:p w:rsidR="001C6376" w:rsidRPr="007814BE" w:rsidRDefault="001C6376" w:rsidP="005D2833">
            <w:pPr>
              <w:jc w:val="center"/>
              <w:rPr>
                <w:rFonts w:ascii="Times New Roman" w:hAnsi="Times New Roman" w:cs="Times New Roman"/>
                <w:sz w:val="25"/>
                <w:szCs w:val="25"/>
                <w:lang w:val="en-US"/>
              </w:rPr>
            </w:pPr>
            <w:r w:rsidRPr="007814BE">
              <w:rPr>
                <w:rFonts w:ascii="Times New Roman" w:hAnsi="Times New Roman" w:cs="Times New Roman"/>
                <w:sz w:val="25"/>
                <w:szCs w:val="25"/>
                <w:lang w:val="en-US"/>
              </w:rPr>
              <w:t>D</w:t>
            </w:r>
          </w:p>
        </w:tc>
        <w:tc>
          <w:tcPr>
            <w:tcW w:w="779" w:type="dxa"/>
          </w:tcPr>
          <w:p w:rsidR="001C6376" w:rsidRDefault="00A10C30" w:rsidP="005D2833">
            <w:pPr>
              <w:jc w:val="both"/>
              <w:rPr>
                <w:rFonts w:ascii="Times New Roman" w:hAnsi="Times New Roman" w:cs="Times New Roman"/>
                <w:sz w:val="25"/>
                <w:szCs w:val="25"/>
              </w:rPr>
            </w:pPr>
            <w:r>
              <w:rPr>
                <w:rFonts w:ascii="Times New Roman" w:hAnsi="Times New Roman" w:cs="Times New Roman"/>
                <w:sz w:val="25"/>
                <w:szCs w:val="25"/>
              </w:rPr>
              <w:t>4,37</w:t>
            </w:r>
          </w:p>
          <w:p w:rsidR="00343744" w:rsidRPr="007814BE" w:rsidRDefault="00343744" w:rsidP="005D2833">
            <w:pPr>
              <w:jc w:val="both"/>
              <w:rPr>
                <w:rFonts w:ascii="Times New Roman" w:hAnsi="Times New Roman" w:cs="Times New Roman"/>
                <w:sz w:val="25"/>
                <w:szCs w:val="25"/>
                <w:lang w:val="en-US"/>
              </w:rPr>
            </w:pPr>
            <w:r>
              <w:rPr>
                <w:rFonts w:ascii="Times New Roman" w:hAnsi="Times New Roman" w:cs="Times New Roman"/>
                <w:sz w:val="25"/>
                <w:szCs w:val="25"/>
              </w:rPr>
              <w:t>(+0,05)</w:t>
            </w:r>
          </w:p>
        </w:tc>
        <w:tc>
          <w:tcPr>
            <w:tcW w:w="740" w:type="dxa"/>
          </w:tcPr>
          <w:p w:rsidR="001C6376" w:rsidRPr="007814BE" w:rsidRDefault="00A10C30" w:rsidP="005D2833">
            <w:pPr>
              <w:jc w:val="center"/>
              <w:rPr>
                <w:rFonts w:ascii="Times New Roman" w:hAnsi="Times New Roman" w:cs="Times New Roman"/>
                <w:sz w:val="25"/>
                <w:szCs w:val="25"/>
              </w:rPr>
            </w:pPr>
            <w:r>
              <w:rPr>
                <w:rFonts w:ascii="Times New Roman" w:hAnsi="Times New Roman" w:cs="Times New Roman"/>
                <w:sz w:val="25"/>
                <w:szCs w:val="25"/>
              </w:rPr>
              <w:t>В</w:t>
            </w:r>
          </w:p>
        </w:tc>
      </w:tr>
      <w:tr w:rsidR="00A10C30" w:rsidTr="005D2833">
        <w:tc>
          <w:tcPr>
            <w:tcW w:w="850"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В 2</w:t>
            </w:r>
            <w:r w:rsidRPr="007814BE">
              <w:rPr>
                <w:rFonts w:ascii="Times New Roman" w:hAnsi="Times New Roman" w:cs="Times New Roman"/>
                <w:sz w:val="25"/>
                <w:szCs w:val="25"/>
              </w:rPr>
              <w:t>.2</w:t>
            </w:r>
          </w:p>
        </w:tc>
        <w:tc>
          <w:tcPr>
            <w:tcW w:w="2903" w:type="dxa"/>
          </w:tcPr>
          <w:p w:rsidR="001C6376" w:rsidRPr="007814BE" w:rsidRDefault="001C6376" w:rsidP="005D2833">
            <w:pPr>
              <w:jc w:val="both"/>
              <w:rPr>
                <w:rFonts w:ascii="Times New Roman" w:hAnsi="Times New Roman" w:cs="Times New Roman"/>
                <w:sz w:val="25"/>
                <w:szCs w:val="25"/>
              </w:rPr>
            </w:pPr>
            <w:r w:rsidRPr="00363447">
              <w:rPr>
                <w:rFonts w:ascii="Times New Roman" w:hAnsi="Times New Roman" w:cs="Times New Roman"/>
                <w:sz w:val="25"/>
                <w:szCs w:val="25"/>
              </w:rPr>
              <w:t>Время постановки на кадастровый учет</w:t>
            </w:r>
          </w:p>
        </w:tc>
        <w:tc>
          <w:tcPr>
            <w:tcW w:w="1578" w:type="dxa"/>
          </w:tcPr>
          <w:p w:rsidR="001C6376" w:rsidRPr="007814BE" w:rsidRDefault="001C6376" w:rsidP="005D2833">
            <w:pPr>
              <w:jc w:val="center"/>
              <w:rPr>
                <w:rFonts w:ascii="Times New Roman" w:hAnsi="Times New Roman" w:cs="Times New Roman"/>
                <w:sz w:val="25"/>
                <w:szCs w:val="25"/>
              </w:rPr>
            </w:pPr>
            <w:r>
              <w:rPr>
                <w:rFonts w:ascii="Times New Roman" w:hAnsi="Times New Roman" w:cs="Times New Roman"/>
                <w:sz w:val="25"/>
                <w:szCs w:val="25"/>
              </w:rPr>
              <w:t>Рабочие дни</w:t>
            </w:r>
          </w:p>
        </w:tc>
        <w:tc>
          <w:tcPr>
            <w:tcW w:w="846"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36,8</w:t>
            </w:r>
          </w:p>
        </w:tc>
        <w:tc>
          <w:tcPr>
            <w:tcW w:w="749" w:type="dxa"/>
          </w:tcPr>
          <w:p w:rsidR="001C6376" w:rsidRPr="007814BE" w:rsidRDefault="00A10C30" w:rsidP="005D2833">
            <w:pPr>
              <w:jc w:val="center"/>
              <w:rPr>
                <w:rFonts w:ascii="Times New Roman" w:hAnsi="Times New Roman" w:cs="Times New Roman"/>
                <w:sz w:val="25"/>
                <w:szCs w:val="25"/>
              </w:rPr>
            </w:pPr>
            <w:r w:rsidRPr="007814BE">
              <w:rPr>
                <w:rFonts w:ascii="Times New Roman" w:hAnsi="Times New Roman" w:cs="Times New Roman"/>
                <w:sz w:val="25"/>
                <w:szCs w:val="25"/>
                <w:lang w:val="en-US"/>
              </w:rPr>
              <w:t>D</w:t>
            </w:r>
          </w:p>
        </w:tc>
        <w:tc>
          <w:tcPr>
            <w:tcW w:w="845"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30,5</w:t>
            </w:r>
          </w:p>
        </w:tc>
        <w:tc>
          <w:tcPr>
            <w:tcW w:w="740" w:type="dxa"/>
          </w:tcPr>
          <w:p w:rsidR="001C6376" w:rsidRPr="007814BE" w:rsidRDefault="001C6376" w:rsidP="005D2833">
            <w:pPr>
              <w:jc w:val="center"/>
              <w:rPr>
                <w:rFonts w:ascii="Times New Roman" w:hAnsi="Times New Roman" w:cs="Times New Roman"/>
                <w:sz w:val="25"/>
                <w:szCs w:val="25"/>
              </w:rPr>
            </w:pPr>
            <w:r w:rsidRPr="007814BE">
              <w:rPr>
                <w:rFonts w:ascii="Times New Roman" w:hAnsi="Times New Roman" w:cs="Times New Roman"/>
                <w:sz w:val="25"/>
                <w:szCs w:val="25"/>
                <w:lang w:val="en-US"/>
              </w:rPr>
              <w:t>D</w:t>
            </w:r>
          </w:p>
        </w:tc>
        <w:tc>
          <w:tcPr>
            <w:tcW w:w="779" w:type="dxa"/>
          </w:tcPr>
          <w:p w:rsidR="001C6376" w:rsidRDefault="00A10C30" w:rsidP="005D2833">
            <w:pPr>
              <w:jc w:val="both"/>
              <w:rPr>
                <w:rFonts w:ascii="Times New Roman" w:hAnsi="Times New Roman" w:cs="Times New Roman"/>
                <w:sz w:val="25"/>
                <w:szCs w:val="25"/>
              </w:rPr>
            </w:pPr>
            <w:r>
              <w:rPr>
                <w:rFonts w:ascii="Times New Roman" w:hAnsi="Times New Roman" w:cs="Times New Roman"/>
                <w:sz w:val="25"/>
                <w:szCs w:val="25"/>
              </w:rPr>
              <w:t>22,14</w:t>
            </w:r>
          </w:p>
          <w:p w:rsidR="00343744" w:rsidRPr="007814BE" w:rsidRDefault="00343744" w:rsidP="005D2833">
            <w:pPr>
              <w:jc w:val="both"/>
              <w:rPr>
                <w:rFonts w:ascii="Times New Roman" w:hAnsi="Times New Roman" w:cs="Times New Roman"/>
                <w:sz w:val="25"/>
                <w:szCs w:val="25"/>
              </w:rPr>
            </w:pPr>
            <w:r>
              <w:rPr>
                <w:rFonts w:ascii="Times New Roman" w:hAnsi="Times New Roman" w:cs="Times New Roman"/>
                <w:sz w:val="25"/>
                <w:szCs w:val="25"/>
              </w:rPr>
              <w:t>(+8,36)</w:t>
            </w:r>
          </w:p>
        </w:tc>
        <w:tc>
          <w:tcPr>
            <w:tcW w:w="740" w:type="dxa"/>
          </w:tcPr>
          <w:p w:rsidR="001C6376" w:rsidRPr="007814BE" w:rsidRDefault="001C6376" w:rsidP="005D2833">
            <w:pPr>
              <w:jc w:val="center"/>
              <w:rPr>
                <w:rFonts w:ascii="Times New Roman" w:hAnsi="Times New Roman" w:cs="Times New Roman"/>
                <w:sz w:val="25"/>
                <w:szCs w:val="25"/>
              </w:rPr>
            </w:pPr>
            <w:r>
              <w:rPr>
                <w:rFonts w:ascii="Times New Roman" w:hAnsi="Times New Roman" w:cs="Times New Roman"/>
                <w:sz w:val="25"/>
                <w:szCs w:val="25"/>
              </w:rPr>
              <w:t>В</w:t>
            </w:r>
          </w:p>
        </w:tc>
      </w:tr>
      <w:tr w:rsidR="00A10C30" w:rsidTr="005D2833">
        <w:tc>
          <w:tcPr>
            <w:tcW w:w="850" w:type="dxa"/>
          </w:tcPr>
          <w:p w:rsidR="001C6376" w:rsidRPr="007814BE" w:rsidRDefault="001C6376" w:rsidP="005D2833">
            <w:pPr>
              <w:jc w:val="both"/>
              <w:rPr>
                <w:rFonts w:ascii="Times New Roman" w:hAnsi="Times New Roman" w:cs="Times New Roman"/>
                <w:sz w:val="25"/>
                <w:szCs w:val="25"/>
              </w:rPr>
            </w:pPr>
            <w:r>
              <w:rPr>
                <w:rFonts w:ascii="Times New Roman" w:hAnsi="Times New Roman" w:cs="Times New Roman"/>
                <w:sz w:val="25"/>
                <w:szCs w:val="25"/>
              </w:rPr>
              <w:t xml:space="preserve">В </w:t>
            </w:r>
            <w:r w:rsidRPr="007814BE">
              <w:rPr>
                <w:rFonts w:ascii="Times New Roman" w:hAnsi="Times New Roman" w:cs="Times New Roman"/>
                <w:sz w:val="25"/>
                <w:szCs w:val="25"/>
              </w:rPr>
              <w:t>3.3</w:t>
            </w:r>
          </w:p>
        </w:tc>
        <w:tc>
          <w:tcPr>
            <w:tcW w:w="2903" w:type="dxa"/>
          </w:tcPr>
          <w:p w:rsidR="001C6376" w:rsidRPr="007814BE" w:rsidRDefault="00EB4574" w:rsidP="005D2833">
            <w:pPr>
              <w:jc w:val="both"/>
              <w:rPr>
                <w:rFonts w:ascii="Times New Roman" w:hAnsi="Times New Roman" w:cs="Times New Roman"/>
                <w:sz w:val="25"/>
                <w:szCs w:val="25"/>
              </w:rPr>
            </w:pPr>
            <w:r>
              <w:rPr>
                <w:rFonts w:ascii="Times New Roman" w:hAnsi="Times New Roman" w:cs="Times New Roman"/>
                <w:sz w:val="25"/>
                <w:szCs w:val="25"/>
              </w:rPr>
              <w:t>Среднее количество процедур, необходимых для постановки на кадастровый учет</w:t>
            </w:r>
          </w:p>
        </w:tc>
        <w:tc>
          <w:tcPr>
            <w:tcW w:w="1578" w:type="dxa"/>
          </w:tcPr>
          <w:p w:rsidR="001C6376" w:rsidRPr="007814BE" w:rsidRDefault="001C6376" w:rsidP="005D2833">
            <w:pPr>
              <w:jc w:val="center"/>
              <w:rPr>
                <w:rFonts w:ascii="Times New Roman" w:hAnsi="Times New Roman" w:cs="Times New Roman"/>
                <w:sz w:val="25"/>
                <w:szCs w:val="25"/>
              </w:rPr>
            </w:pPr>
            <w:proofErr w:type="spellStart"/>
            <w:r>
              <w:rPr>
                <w:rFonts w:ascii="Times New Roman" w:hAnsi="Times New Roman" w:cs="Times New Roman"/>
                <w:sz w:val="25"/>
                <w:szCs w:val="25"/>
              </w:rPr>
              <w:t>шт</w:t>
            </w:r>
            <w:proofErr w:type="spellEnd"/>
          </w:p>
        </w:tc>
        <w:tc>
          <w:tcPr>
            <w:tcW w:w="846"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2,8</w:t>
            </w:r>
          </w:p>
        </w:tc>
        <w:tc>
          <w:tcPr>
            <w:tcW w:w="749" w:type="dxa"/>
          </w:tcPr>
          <w:p w:rsidR="001C6376" w:rsidRPr="007814BE" w:rsidRDefault="00A10C30" w:rsidP="005D2833">
            <w:pPr>
              <w:jc w:val="center"/>
              <w:rPr>
                <w:rFonts w:ascii="Times New Roman" w:hAnsi="Times New Roman" w:cs="Times New Roman"/>
                <w:sz w:val="25"/>
                <w:szCs w:val="25"/>
              </w:rPr>
            </w:pPr>
            <w:r>
              <w:rPr>
                <w:rFonts w:ascii="Times New Roman" w:hAnsi="Times New Roman" w:cs="Times New Roman"/>
                <w:sz w:val="25"/>
                <w:szCs w:val="25"/>
              </w:rPr>
              <w:t>В</w:t>
            </w:r>
          </w:p>
        </w:tc>
        <w:tc>
          <w:tcPr>
            <w:tcW w:w="845" w:type="dxa"/>
          </w:tcPr>
          <w:p w:rsidR="001C6376" w:rsidRPr="007814BE" w:rsidRDefault="00A10C30" w:rsidP="005D2833">
            <w:pPr>
              <w:jc w:val="both"/>
              <w:rPr>
                <w:rFonts w:ascii="Times New Roman" w:hAnsi="Times New Roman" w:cs="Times New Roman"/>
                <w:sz w:val="25"/>
                <w:szCs w:val="25"/>
              </w:rPr>
            </w:pPr>
            <w:r>
              <w:rPr>
                <w:rFonts w:ascii="Times New Roman" w:hAnsi="Times New Roman" w:cs="Times New Roman"/>
                <w:sz w:val="25"/>
                <w:szCs w:val="25"/>
              </w:rPr>
              <w:t>6,13</w:t>
            </w:r>
          </w:p>
        </w:tc>
        <w:tc>
          <w:tcPr>
            <w:tcW w:w="740" w:type="dxa"/>
          </w:tcPr>
          <w:p w:rsidR="001C6376" w:rsidRPr="00225DAE" w:rsidRDefault="00343744" w:rsidP="005D2833">
            <w:pPr>
              <w:jc w:val="center"/>
              <w:rPr>
                <w:rFonts w:ascii="Times New Roman" w:hAnsi="Times New Roman" w:cs="Times New Roman"/>
                <w:sz w:val="25"/>
                <w:szCs w:val="25"/>
              </w:rPr>
            </w:pPr>
            <w:r>
              <w:rPr>
                <w:rFonts w:ascii="Times New Roman" w:hAnsi="Times New Roman" w:cs="Times New Roman"/>
                <w:sz w:val="25"/>
                <w:szCs w:val="25"/>
              </w:rPr>
              <w:t>Е</w:t>
            </w:r>
          </w:p>
        </w:tc>
        <w:tc>
          <w:tcPr>
            <w:tcW w:w="779" w:type="dxa"/>
          </w:tcPr>
          <w:p w:rsidR="001C6376" w:rsidRDefault="00A10C30" w:rsidP="005D2833">
            <w:pPr>
              <w:jc w:val="both"/>
              <w:rPr>
                <w:rFonts w:ascii="Times New Roman" w:hAnsi="Times New Roman" w:cs="Times New Roman"/>
                <w:sz w:val="25"/>
                <w:szCs w:val="25"/>
              </w:rPr>
            </w:pPr>
            <w:r>
              <w:rPr>
                <w:rFonts w:ascii="Times New Roman" w:hAnsi="Times New Roman" w:cs="Times New Roman"/>
                <w:sz w:val="25"/>
                <w:szCs w:val="25"/>
              </w:rPr>
              <w:t>4,09</w:t>
            </w:r>
          </w:p>
          <w:p w:rsidR="00343744" w:rsidRPr="007814BE" w:rsidRDefault="00A05F67" w:rsidP="00A05F67">
            <w:pPr>
              <w:jc w:val="both"/>
              <w:rPr>
                <w:rFonts w:ascii="Times New Roman" w:hAnsi="Times New Roman" w:cs="Times New Roman"/>
                <w:sz w:val="25"/>
                <w:szCs w:val="25"/>
              </w:rPr>
            </w:pPr>
            <w:r>
              <w:rPr>
                <w:rFonts w:ascii="Times New Roman" w:hAnsi="Times New Roman" w:cs="Times New Roman"/>
                <w:sz w:val="25"/>
                <w:szCs w:val="25"/>
              </w:rPr>
              <w:t>(+2</w:t>
            </w:r>
            <w:r w:rsidR="00343744">
              <w:rPr>
                <w:rFonts w:ascii="Times New Roman" w:hAnsi="Times New Roman" w:cs="Times New Roman"/>
                <w:sz w:val="25"/>
                <w:szCs w:val="25"/>
              </w:rPr>
              <w:t>,</w:t>
            </w:r>
            <w:r>
              <w:rPr>
                <w:rFonts w:ascii="Times New Roman" w:hAnsi="Times New Roman" w:cs="Times New Roman"/>
                <w:sz w:val="25"/>
                <w:szCs w:val="25"/>
              </w:rPr>
              <w:t>04</w:t>
            </w:r>
            <w:r w:rsidR="00343744">
              <w:rPr>
                <w:rFonts w:ascii="Times New Roman" w:hAnsi="Times New Roman" w:cs="Times New Roman"/>
                <w:sz w:val="25"/>
                <w:szCs w:val="25"/>
              </w:rPr>
              <w:t>)</w:t>
            </w:r>
          </w:p>
        </w:tc>
        <w:tc>
          <w:tcPr>
            <w:tcW w:w="740" w:type="dxa"/>
          </w:tcPr>
          <w:p w:rsidR="001C6376" w:rsidRPr="00A10C30" w:rsidRDefault="00A10C30" w:rsidP="005D2833">
            <w:pPr>
              <w:jc w:val="center"/>
              <w:rPr>
                <w:rFonts w:ascii="Times New Roman" w:hAnsi="Times New Roman" w:cs="Times New Roman"/>
                <w:sz w:val="25"/>
                <w:szCs w:val="25"/>
              </w:rPr>
            </w:pPr>
            <w:r w:rsidRPr="007814BE">
              <w:rPr>
                <w:rFonts w:ascii="Times New Roman" w:hAnsi="Times New Roman" w:cs="Times New Roman"/>
                <w:sz w:val="25"/>
                <w:szCs w:val="25"/>
                <w:lang w:val="en-US"/>
              </w:rPr>
              <w:t>D</w:t>
            </w:r>
          </w:p>
        </w:tc>
      </w:tr>
    </w:tbl>
    <w:p w:rsidR="00371AB2" w:rsidRDefault="00371AB2"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1C6376" w:rsidRDefault="001C6376"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363447">
        <w:rPr>
          <w:rFonts w:ascii="Times New Roman" w:eastAsia="Times New Roman" w:hAnsi="Times New Roman" w:cs="Times New Roman"/>
          <w:color w:val="000000"/>
          <w:sz w:val="28"/>
          <w:szCs w:val="28"/>
          <w:lang w:eastAsia="ru-RU"/>
        </w:rPr>
        <w:t xml:space="preserve">Исходя из оценки респондентов, </w:t>
      </w:r>
      <w:r w:rsidR="00371AB2">
        <w:rPr>
          <w:rFonts w:ascii="Times New Roman" w:eastAsia="Times New Roman" w:hAnsi="Times New Roman" w:cs="Times New Roman"/>
          <w:color w:val="000000"/>
          <w:sz w:val="28"/>
          <w:szCs w:val="28"/>
          <w:lang w:eastAsia="ru-RU"/>
        </w:rPr>
        <w:t>в постановке</w:t>
      </w:r>
      <w:r w:rsidRPr="00363447">
        <w:rPr>
          <w:rFonts w:ascii="Times New Roman" w:eastAsia="Times New Roman" w:hAnsi="Times New Roman" w:cs="Times New Roman"/>
          <w:color w:val="000000"/>
          <w:sz w:val="28"/>
          <w:szCs w:val="28"/>
          <w:lang w:eastAsia="ru-RU"/>
        </w:rPr>
        <w:t xml:space="preserve"> на кадастровый учет объектов недвижимости</w:t>
      </w:r>
      <w:r w:rsidR="00371AB2">
        <w:rPr>
          <w:rFonts w:ascii="Times New Roman" w:eastAsia="Times New Roman" w:hAnsi="Times New Roman" w:cs="Times New Roman"/>
          <w:color w:val="000000"/>
          <w:sz w:val="28"/>
          <w:szCs w:val="28"/>
          <w:lang w:eastAsia="ru-RU"/>
        </w:rPr>
        <w:t>, которая за последние три года являлась</w:t>
      </w:r>
      <w:r w:rsidRPr="00363447">
        <w:rPr>
          <w:rFonts w:ascii="Times New Roman" w:eastAsia="Times New Roman" w:hAnsi="Times New Roman" w:cs="Times New Roman"/>
          <w:color w:val="000000"/>
          <w:sz w:val="28"/>
          <w:szCs w:val="28"/>
          <w:lang w:eastAsia="ru-RU"/>
        </w:rPr>
        <w:t xml:space="preserve"> процедурой, наиболее затрудняющей бизнес-процессы</w:t>
      </w:r>
      <w:r w:rsidR="00371AB2">
        <w:rPr>
          <w:rFonts w:ascii="Times New Roman" w:eastAsia="Times New Roman" w:hAnsi="Times New Roman" w:cs="Times New Roman"/>
          <w:color w:val="000000"/>
          <w:sz w:val="28"/>
          <w:szCs w:val="28"/>
          <w:lang w:eastAsia="ru-RU"/>
        </w:rPr>
        <w:t>, произошли значительные изменения к лучшему</w:t>
      </w:r>
      <w:r>
        <w:rPr>
          <w:rFonts w:ascii="Times New Roman" w:eastAsia="Times New Roman" w:hAnsi="Times New Roman" w:cs="Times New Roman"/>
          <w:color w:val="000000"/>
          <w:sz w:val="28"/>
          <w:szCs w:val="28"/>
          <w:lang w:eastAsia="ru-RU"/>
        </w:rPr>
        <w:t>.</w:t>
      </w:r>
      <w:r w:rsidR="00AA3288">
        <w:rPr>
          <w:rFonts w:ascii="Times New Roman" w:eastAsia="Times New Roman" w:hAnsi="Times New Roman" w:cs="Times New Roman"/>
          <w:color w:val="000000"/>
          <w:sz w:val="28"/>
          <w:szCs w:val="28"/>
          <w:lang w:eastAsia="ru-RU"/>
        </w:rPr>
        <w:t xml:space="preserve"> Росреестр продолжает</w:t>
      </w:r>
      <w:r w:rsidR="00371AB2">
        <w:rPr>
          <w:rFonts w:ascii="Times New Roman" w:eastAsia="Times New Roman" w:hAnsi="Times New Roman" w:cs="Times New Roman"/>
          <w:color w:val="000000"/>
          <w:sz w:val="28"/>
          <w:szCs w:val="28"/>
          <w:lang w:eastAsia="ru-RU"/>
        </w:rPr>
        <w:t xml:space="preserve"> работать над тем, чтобы эта тенденция сохранилась.</w:t>
      </w:r>
    </w:p>
    <w:p w:rsidR="003F5FFD" w:rsidRPr="00522FEF" w:rsidRDefault="003F5FFD" w:rsidP="001C637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Сократить среднее количество процедур, необходимых для постановки на кадастровый учет, удалось за счет того, что документы на осуществление государственного кадастрового учета представляются преимущественно органами государственной власти и местного самоуправления</w:t>
      </w:r>
      <w:r>
        <w:rPr>
          <w:rFonts w:ascii="Times New Roman" w:eastAsia="Times New Roman" w:hAnsi="Times New Roman" w:cs="Times New Roman"/>
          <w:color w:val="000000"/>
          <w:sz w:val="28"/>
          <w:szCs w:val="28"/>
          <w:lang w:eastAsia="ru-RU"/>
        </w:rPr>
        <w:t xml:space="preserve"> (не ИП или представителями </w:t>
      </w:r>
      <w:proofErr w:type="spellStart"/>
      <w:r>
        <w:rPr>
          <w:rFonts w:ascii="Times New Roman" w:eastAsia="Times New Roman" w:hAnsi="Times New Roman" w:cs="Times New Roman"/>
          <w:color w:val="000000"/>
          <w:sz w:val="28"/>
          <w:szCs w:val="28"/>
          <w:lang w:eastAsia="ru-RU"/>
        </w:rPr>
        <w:t>юрлиц</w:t>
      </w:r>
      <w:proofErr w:type="spellEnd"/>
      <w:r>
        <w:rPr>
          <w:rFonts w:ascii="Times New Roman" w:eastAsia="Times New Roman" w:hAnsi="Times New Roman" w:cs="Times New Roman"/>
          <w:color w:val="000000"/>
          <w:sz w:val="28"/>
          <w:szCs w:val="28"/>
          <w:lang w:eastAsia="ru-RU"/>
        </w:rPr>
        <w:t>, которые являются респондентами рейтинга АСИ)</w:t>
      </w:r>
      <w:r w:rsidRPr="00AA3288">
        <w:rPr>
          <w:rFonts w:ascii="Times New Roman" w:eastAsia="Times New Roman" w:hAnsi="Times New Roman" w:cs="Times New Roman"/>
          <w:color w:val="000000"/>
          <w:sz w:val="28"/>
          <w:szCs w:val="28"/>
          <w:lang w:eastAsia="ru-RU"/>
        </w:rPr>
        <w:t xml:space="preserve">. С 2023 года это происходит в электронном виде. </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Возможность подачи докумен</w:t>
      </w:r>
      <w:r>
        <w:rPr>
          <w:rFonts w:ascii="Times New Roman" w:eastAsia="Times New Roman" w:hAnsi="Times New Roman" w:cs="Times New Roman"/>
          <w:color w:val="000000"/>
          <w:sz w:val="28"/>
          <w:szCs w:val="28"/>
          <w:lang w:eastAsia="ru-RU"/>
        </w:rPr>
        <w:t>тов в электронном виде позволила</w:t>
      </w:r>
      <w:r w:rsidRPr="00AA3288">
        <w:rPr>
          <w:rFonts w:ascii="Times New Roman" w:eastAsia="Times New Roman" w:hAnsi="Times New Roman" w:cs="Times New Roman"/>
          <w:color w:val="000000"/>
          <w:sz w:val="28"/>
          <w:szCs w:val="28"/>
          <w:lang w:eastAsia="ru-RU"/>
        </w:rPr>
        <w:t xml:space="preserve"> ускорить обработку информации, избежать излишних бюрократических процедур. </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 xml:space="preserve">Получателю услуги необходимо совершить только 2 процедуры: </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подать заявление и необходимый пакет документов в уполномоченный орган государственной власти или  орган местного самоуправления;</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получить выписку об осуществлении кадастрового учета и/или регистрации прав.</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 xml:space="preserve">Управление, в свою очередь, уделяет серьезное внимание  повышению эффективности процедур постановки на кадастровый учет, а именно работе, </w:t>
      </w:r>
      <w:r w:rsidRPr="00AA3288">
        <w:rPr>
          <w:rFonts w:ascii="Times New Roman" w:eastAsia="Times New Roman" w:hAnsi="Times New Roman" w:cs="Times New Roman"/>
          <w:color w:val="000000"/>
          <w:sz w:val="28"/>
          <w:szCs w:val="28"/>
          <w:lang w:eastAsia="ru-RU"/>
        </w:rPr>
        <w:lastRenderedPageBreak/>
        <w:t xml:space="preserve">направленной на снижение количества решений о приостановлении (отказе) при предоставлении государственных услуг Росреестра по государственному кадастровому учёту. В 2023 году регистраторами было принято </w:t>
      </w:r>
      <w:r w:rsidR="003952C6">
        <w:rPr>
          <w:rFonts w:ascii="Times New Roman" w:eastAsia="Times New Roman" w:hAnsi="Times New Roman" w:cs="Times New Roman"/>
          <w:color w:val="000000"/>
          <w:sz w:val="28"/>
          <w:szCs w:val="28"/>
          <w:lang w:eastAsia="ru-RU"/>
        </w:rPr>
        <w:t xml:space="preserve">всего </w:t>
      </w:r>
      <w:bookmarkStart w:id="0" w:name="_GoBack"/>
      <w:bookmarkEnd w:id="0"/>
      <w:r w:rsidRPr="00AA3288">
        <w:rPr>
          <w:rFonts w:ascii="Times New Roman" w:eastAsia="Times New Roman" w:hAnsi="Times New Roman" w:cs="Times New Roman"/>
          <w:color w:val="000000"/>
          <w:sz w:val="28"/>
          <w:szCs w:val="28"/>
          <w:lang w:eastAsia="ru-RU"/>
        </w:rPr>
        <w:t>23 решения о приостановлении осуществления кадастрового учета (в том числе 7 решений по единой процедуре).</w:t>
      </w:r>
      <w:r>
        <w:rPr>
          <w:rFonts w:ascii="Times New Roman" w:eastAsia="Times New Roman" w:hAnsi="Times New Roman" w:cs="Times New Roman"/>
          <w:color w:val="000000"/>
          <w:sz w:val="28"/>
          <w:szCs w:val="28"/>
          <w:lang w:eastAsia="ru-RU"/>
        </w:rPr>
        <w:t xml:space="preserve"> Это менее одного процента от всех обращений за данной услугой. </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Кроме того, с мая 2023 года весь процесс от ввода сведений по кадастровому учету до стадии формирования реестрового дела осуществляется сотрудниками Управления, что также сокращает время принятия решения. Сокращение времени постановки на государственный кадастровый учет достигнуто за счет автоматизации</w:t>
      </w:r>
      <w:r>
        <w:rPr>
          <w:rFonts w:ascii="Times New Roman" w:eastAsia="Times New Roman" w:hAnsi="Times New Roman" w:cs="Times New Roman"/>
          <w:color w:val="000000"/>
          <w:sz w:val="28"/>
          <w:szCs w:val="28"/>
          <w:lang w:eastAsia="ru-RU"/>
        </w:rPr>
        <w:t>, ифровизаци</w:t>
      </w:r>
      <w:r w:rsidRPr="00AA3288">
        <w:rPr>
          <w:rFonts w:ascii="Times New Roman" w:eastAsia="Times New Roman" w:hAnsi="Times New Roman" w:cs="Times New Roman"/>
          <w:color w:val="000000"/>
          <w:sz w:val="28"/>
          <w:szCs w:val="28"/>
          <w:lang w:eastAsia="ru-RU"/>
        </w:rPr>
        <w:t xml:space="preserve"> и упрощения процесса. </w:t>
      </w: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AA3288" w:rsidRPr="00AA3288" w:rsidRDefault="00AA3288" w:rsidP="00A05F6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A3288">
        <w:rPr>
          <w:rFonts w:ascii="Times New Roman" w:eastAsia="Times New Roman" w:hAnsi="Times New Roman" w:cs="Times New Roman"/>
          <w:color w:val="000000"/>
          <w:sz w:val="28"/>
          <w:szCs w:val="28"/>
          <w:lang w:eastAsia="ru-RU"/>
        </w:rPr>
        <w:t>Одним из инструментов, способным улучшить показатели оказания услуг Росреестра в 2024 году</w:t>
      </w:r>
      <w:r w:rsidR="00A05F67">
        <w:rPr>
          <w:rFonts w:ascii="Times New Roman" w:eastAsia="Times New Roman" w:hAnsi="Times New Roman" w:cs="Times New Roman"/>
          <w:color w:val="000000"/>
          <w:sz w:val="28"/>
          <w:szCs w:val="28"/>
          <w:lang w:eastAsia="ru-RU"/>
        </w:rPr>
        <w:t>,</w:t>
      </w:r>
      <w:r w:rsidRPr="00AA3288">
        <w:rPr>
          <w:rFonts w:ascii="Times New Roman" w:eastAsia="Times New Roman" w:hAnsi="Times New Roman" w:cs="Times New Roman"/>
          <w:color w:val="000000"/>
          <w:sz w:val="28"/>
          <w:szCs w:val="28"/>
          <w:lang w:eastAsia="ru-RU"/>
        </w:rPr>
        <w:t xml:space="preserve"> </w:t>
      </w:r>
      <w:r w:rsidR="00A2072E">
        <w:rPr>
          <w:rFonts w:ascii="Times New Roman" w:eastAsia="Times New Roman" w:hAnsi="Times New Roman" w:cs="Times New Roman"/>
          <w:color w:val="000000"/>
          <w:sz w:val="28"/>
          <w:szCs w:val="28"/>
          <w:lang w:eastAsia="ru-RU"/>
        </w:rPr>
        <w:t xml:space="preserve">руководитель Управления </w:t>
      </w:r>
      <w:proofErr w:type="spellStart"/>
      <w:r w:rsidR="00A2072E">
        <w:rPr>
          <w:rFonts w:ascii="Times New Roman" w:eastAsia="Times New Roman" w:hAnsi="Times New Roman" w:cs="Times New Roman"/>
          <w:color w:val="000000"/>
          <w:sz w:val="28"/>
          <w:szCs w:val="28"/>
          <w:lang w:eastAsia="ru-RU"/>
        </w:rPr>
        <w:t>Росреестра</w:t>
      </w:r>
      <w:proofErr w:type="spellEnd"/>
      <w:r w:rsidR="00A2072E">
        <w:rPr>
          <w:rFonts w:ascii="Times New Roman" w:eastAsia="Times New Roman" w:hAnsi="Times New Roman" w:cs="Times New Roman"/>
          <w:color w:val="000000"/>
          <w:sz w:val="28"/>
          <w:szCs w:val="28"/>
          <w:lang w:eastAsia="ru-RU"/>
        </w:rPr>
        <w:t xml:space="preserve"> по Республике Тыва Светлана Васильевна</w:t>
      </w:r>
      <w:r w:rsidRPr="00AA3288">
        <w:rPr>
          <w:rFonts w:ascii="Times New Roman" w:eastAsia="Times New Roman" w:hAnsi="Times New Roman" w:cs="Times New Roman"/>
          <w:color w:val="000000"/>
          <w:sz w:val="28"/>
          <w:szCs w:val="28"/>
          <w:lang w:eastAsia="ru-RU"/>
        </w:rPr>
        <w:t xml:space="preserve"> </w:t>
      </w:r>
      <w:proofErr w:type="spellStart"/>
      <w:r w:rsidRPr="00AA3288">
        <w:rPr>
          <w:rFonts w:ascii="Times New Roman" w:eastAsia="Times New Roman" w:hAnsi="Times New Roman" w:cs="Times New Roman"/>
          <w:color w:val="000000"/>
          <w:sz w:val="28"/>
          <w:szCs w:val="28"/>
          <w:lang w:eastAsia="ru-RU"/>
        </w:rPr>
        <w:t>Тулуш</w:t>
      </w:r>
      <w:proofErr w:type="spellEnd"/>
      <w:r w:rsidRPr="00AA3288">
        <w:rPr>
          <w:rFonts w:ascii="Times New Roman" w:eastAsia="Times New Roman" w:hAnsi="Times New Roman" w:cs="Times New Roman"/>
          <w:color w:val="000000"/>
          <w:sz w:val="28"/>
          <w:szCs w:val="28"/>
          <w:lang w:eastAsia="ru-RU"/>
        </w:rPr>
        <w:t xml:space="preserve"> назвала «Национальную систему пространственных данных» (НСПД).</w:t>
      </w:r>
    </w:p>
    <w:p w:rsidR="00522FEF" w:rsidRPr="00AA3288" w:rsidRDefault="00522FEF">
      <w:pPr>
        <w:ind w:firstLine="709"/>
        <w:rPr>
          <w:rFonts w:ascii="Times New Roman" w:eastAsia="Times New Roman" w:hAnsi="Times New Roman" w:cs="Times New Roman"/>
          <w:color w:val="000000"/>
          <w:sz w:val="28"/>
          <w:szCs w:val="28"/>
          <w:lang w:eastAsia="ru-RU"/>
        </w:rPr>
      </w:pPr>
    </w:p>
    <w:sectPr w:rsidR="00522FEF" w:rsidRPr="00AA3288" w:rsidSect="00007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28B0"/>
    <w:multiLevelType w:val="hybridMultilevel"/>
    <w:tmpl w:val="39A03B9A"/>
    <w:lvl w:ilvl="0" w:tplc="8B4A2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9A5"/>
    <w:rsid w:val="00007B5A"/>
    <w:rsid w:val="00042491"/>
    <w:rsid w:val="001C6376"/>
    <w:rsid w:val="0021493F"/>
    <w:rsid w:val="002A3142"/>
    <w:rsid w:val="00301C5D"/>
    <w:rsid w:val="00343744"/>
    <w:rsid w:val="00371AB2"/>
    <w:rsid w:val="003952C6"/>
    <w:rsid w:val="003F5FFD"/>
    <w:rsid w:val="00464AF7"/>
    <w:rsid w:val="004C422B"/>
    <w:rsid w:val="00522FEF"/>
    <w:rsid w:val="005C35CB"/>
    <w:rsid w:val="006869A5"/>
    <w:rsid w:val="006A3FD3"/>
    <w:rsid w:val="006D268F"/>
    <w:rsid w:val="006F556C"/>
    <w:rsid w:val="00A05F67"/>
    <w:rsid w:val="00A10C30"/>
    <w:rsid w:val="00A2072E"/>
    <w:rsid w:val="00A70393"/>
    <w:rsid w:val="00AA3288"/>
    <w:rsid w:val="00B229D4"/>
    <w:rsid w:val="00C017D2"/>
    <w:rsid w:val="00EB4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6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C63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C6376"/>
    <w:rPr>
      <w:rFonts w:ascii="Segoe UI" w:hAnsi="Segoe UI" w:cs="Segoe UI"/>
      <w:sz w:val="18"/>
      <w:szCs w:val="18"/>
    </w:rPr>
  </w:style>
  <w:style w:type="paragraph" w:styleId="a6">
    <w:name w:val="List Paragraph"/>
    <w:basedOn w:val="a"/>
    <w:uiPriority w:val="34"/>
    <w:qFormat/>
    <w:rsid w:val="00042491"/>
    <w:pPr>
      <w:ind w:left="720"/>
      <w:contextualSpacing/>
    </w:pPr>
  </w:style>
</w:styles>
</file>

<file path=word/webSettings.xml><?xml version="1.0" encoding="utf-8"?>
<w:webSettings xmlns:r="http://schemas.openxmlformats.org/officeDocument/2006/relationships" xmlns:w="http://schemas.openxmlformats.org/wordprocessingml/2006/main">
  <w:divs>
    <w:div w:id="8647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4530</TotalTime>
  <Pages>4</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Тулуш Светлана Васильевна</dc:creator>
  <cp:keywords/>
  <dc:description/>
  <cp:lastModifiedBy>Артына Долаана Кан-ооловна</cp:lastModifiedBy>
  <cp:revision>28</cp:revision>
  <cp:lastPrinted>2024-02-12T03:50:00Z</cp:lastPrinted>
  <dcterms:created xsi:type="dcterms:W3CDTF">2024-02-09T02:14:00Z</dcterms:created>
  <dcterms:modified xsi:type="dcterms:W3CDTF">2024-03-04T02:44:00Z</dcterms:modified>
</cp:coreProperties>
</file>